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2DCD" w14:textId="77777777" w:rsidR="00F94286" w:rsidRPr="00CD151F" w:rsidRDefault="00F94286" w:rsidP="00F94286"/>
    <w:p w14:paraId="62D3C984" w14:textId="12C30D7F" w:rsidR="00F94286" w:rsidRPr="00CD151F" w:rsidRDefault="00F94286" w:rsidP="00F94286">
      <w:pPr>
        <w:jc w:val="center"/>
        <w:rPr>
          <w:b/>
          <w:u w:val="single"/>
        </w:rPr>
      </w:pPr>
      <w:r w:rsidRPr="00CD151F">
        <w:rPr>
          <w:noProof/>
        </w:rPr>
        <mc:AlternateContent>
          <mc:Choice Requires="wps">
            <w:drawing>
              <wp:anchor distT="4294967295" distB="4294967295" distL="114300" distR="114300" simplePos="0" relativeHeight="251660288" behindDoc="0" locked="0" layoutInCell="1" allowOverlap="1" wp14:anchorId="3D95D1FF" wp14:editId="37A608DE">
                <wp:simplePos x="0" y="0"/>
                <wp:positionH relativeFrom="column">
                  <wp:posOffset>-104775</wp:posOffset>
                </wp:positionH>
                <wp:positionV relativeFrom="paragraph">
                  <wp:posOffset>581025</wp:posOffset>
                </wp:positionV>
                <wp:extent cx="6257925" cy="0"/>
                <wp:effectExtent l="0" t="0" r="0" b="0"/>
                <wp:wrapNone/>
                <wp:docPr id="164759955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518B59"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45.75pt" to="484.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" strokecolor="#4a7ebb">
                <o:lock v:ext="edit" shapetype="f"/>
              </v:line>
            </w:pict>
          </mc:Fallback>
        </mc:AlternateContent>
      </w:r>
      <w:r w:rsidRPr="00CD151F">
        <w:rPr>
          <w:noProof/>
        </w:rPr>
        <mc:AlternateContent>
          <mc:Choice Requires="wps">
            <w:drawing>
              <wp:anchor distT="4294967295" distB="4294967295" distL="114300" distR="114300" simplePos="0" relativeHeight="251659264" behindDoc="0" locked="0" layoutInCell="1" allowOverlap="1" wp14:anchorId="77AEEF55" wp14:editId="0D20830C">
                <wp:simplePos x="0" y="0"/>
                <wp:positionH relativeFrom="column">
                  <wp:posOffset>-104775</wp:posOffset>
                </wp:positionH>
                <wp:positionV relativeFrom="paragraph">
                  <wp:posOffset>-152400</wp:posOffset>
                </wp:positionV>
                <wp:extent cx="6257925" cy="0"/>
                <wp:effectExtent l="0" t="0" r="0" b="0"/>
                <wp:wrapNone/>
                <wp:docPr id="15986628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5651A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2pt" to="4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" strokecolor="#156082 [3204]" strokeweight="1pt">
                <v:stroke joinstyle="miter"/>
                <o:lock v:ext="edit" shapetype="f"/>
              </v:line>
            </w:pict>
          </mc:Fallback>
        </mc:AlternateContent>
      </w:r>
      <w:r w:rsidRPr="00CD151F">
        <w:rPr>
          <w:b/>
        </w:rPr>
        <w:t>Summary of Content Changes</w:t>
      </w:r>
      <w:r w:rsidRPr="00CD151F">
        <w:rPr>
          <w:b/>
        </w:rPr>
        <w:br/>
        <w:t>202</w:t>
      </w:r>
      <w:r>
        <w:rPr>
          <w:b/>
        </w:rPr>
        <w:t>6</w:t>
      </w:r>
      <w:r w:rsidRPr="00CD151F">
        <w:rPr>
          <w:b/>
        </w:rPr>
        <w:t>.</w:t>
      </w:r>
      <w:r>
        <w:rPr>
          <w:b/>
        </w:rPr>
        <w:t>1</w:t>
      </w:r>
      <w:r w:rsidRPr="00CD151F">
        <w:rPr>
          <w:b/>
        </w:rPr>
        <w:t xml:space="preserve"> Update</w:t>
      </w:r>
      <w:r>
        <w:rPr>
          <w:b/>
        </w:rPr>
        <w:t>:</w:t>
      </w:r>
      <w:r w:rsidR="004648F5">
        <w:rPr>
          <w:b/>
        </w:rPr>
        <w:t xml:space="preserve"> March</w:t>
      </w:r>
      <w:r>
        <w:rPr>
          <w:b/>
        </w:rPr>
        <w:t xml:space="preserve"> 2026</w:t>
      </w:r>
      <w:r w:rsidRPr="00CD151F">
        <w:rPr>
          <w:b/>
        </w:rPr>
        <w:br/>
      </w:r>
    </w:p>
    <w:p w14:paraId="71E6C80F" w14:textId="1F807051" w:rsidR="00F94286" w:rsidRDefault="00F94286" w:rsidP="00F94286">
      <w:r>
        <w:t xml:space="preserve">This update includes </w:t>
      </w:r>
      <w:r w:rsidR="003241A6">
        <w:t>the addition of two new resources.  The first is a Supervisory Committee Governance document (1100.</w:t>
      </w:r>
      <w:r w:rsidR="005E43E0">
        <w:t>20</w:t>
      </w:r>
      <w:r w:rsidR="003241A6">
        <w:t>) and a Customer/Member Due Diligence resource (</w:t>
      </w:r>
      <w:r w:rsidR="000C4953">
        <w:t>2110.30).</w:t>
      </w:r>
    </w:p>
    <w:p w14:paraId="553A1591" w14:textId="3AD1902C" w:rsidR="000C4953" w:rsidRDefault="000C4953" w:rsidP="00F94286">
      <w:r>
        <w:t xml:space="preserve">The BSA Policy was revised to include additional details, as well as removing the previously included content for </w:t>
      </w:r>
      <w:r w:rsidR="00CE5B8B">
        <w:t>High-Risk Members, which is now included in the newly created resource 2110.30 – Customer/Member Due Diligence.</w:t>
      </w:r>
      <w:r w:rsidR="00C50889">
        <w:t xml:space="preserve">  The OFAC Policy was also updated to include minor revisions to </w:t>
      </w:r>
      <w:r w:rsidR="00C0294C">
        <w:t xml:space="preserve">clarify the appointment of </w:t>
      </w:r>
      <w:r w:rsidR="00555EB6">
        <w:t>a BSA/AML/OFAC Compliance Officer (consistent with the BSA policy), and clarification of applicable training.</w:t>
      </w:r>
    </w:p>
    <w:p w14:paraId="6B5044CA" w14:textId="07A8951B" w:rsidR="00CE5B8B" w:rsidRDefault="00CE5B8B" w:rsidP="00F94286">
      <w:r>
        <w:t xml:space="preserve">In addition, </w:t>
      </w:r>
      <w:r w:rsidR="008B7D27">
        <w:t>real estate lending policies (</w:t>
      </w:r>
      <w:r w:rsidR="006F6B83">
        <w:t xml:space="preserve">7244, </w:t>
      </w:r>
      <w:r w:rsidR="00EE6451">
        <w:t xml:space="preserve">7330, </w:t>
      </w:r>
      <w:r w:rsidR="008B7D27">
        <w:t>7350, 7351</w:t>
      </w:r>
      <w:r w:rsidR="00EE6451">
        <w:t>, and 7360</w:t>
      </w:r>
      <w:r w:rsidR="008B7D27">
        <w:t xml:space="preserve">) were also updated based on the finalization of the </w:t>
      </w:r>
      <w:hyperlink r:id="rId4" w:history="1">
        <w:r w:rsidR="008B7D27" w:rsidRPr="00C50889">
          <w:rPr>
            <w:rStyle w:val="Hyperlink"/>
          </w:rPr>
          <w:t>Residential Property Assessed Clean Energy Fin</w:t>
        </w:r>
        <w:r w:rsidR="00C50889" w:rsidRPr="00C50889">
          <w:rPr>
            <w:rStyle w:val="Hyperlink"/>
          </w:rPr>
          <w:t>ancing</w:t>
        </w:r>
      </w:hyperlink>
      <w:r w:rsidR="00C50889">
        <w:t xml:space="preserve"> rule, amending Regulation Z, effective on March 1, 2026.</w:t>
      </w:r>
    </w:p>
    <w:p w14:paraId="6E26A472" w14:textId="1A091904" w:rsidR="00F94286" w:rsidRDefault="00CD1B6E">
      <w:r>
        <w:t xml:space="preserve">Last, Chapter 4000 was reviewed and updated to structure content with applicable overarching policies and associated </w:t>
      </w:r>
      <w:r w:rsidR="009B00C3">
        <w:t xml:space="preserve">procedures/resources.  Not </w:t>
      </w:r>
      <w:proofErr w:type="gramStart"/>
      <w:r w:rsidR="009B00C3">
        <w:t>all of</w:t>
      </w:r>
      <w:proofErr w:type="gramEnd"/>
      <w:r w:rsidR="009B00C3">
        <w:t xml:space="preserve"> the content contained within the chapter was at the “policy” level, requiring board approval.  The content</w:t>
      </w:r>
      <w:r w:rsidR="004648F5">
        <w:t>,</w:t>
      </w:r>
      <w:r w:rsidR="009B00C3">
        <w:t xml:space="preserve"> while valuable, served as a resource or procedure to support the policy.  </w:t>
      </w:r>
      <w:r w:rsidR="009E3C3C">
        <w:t>When restructuring content, two prior policies are being retired since the content is duplicative and already contained in other policies/resources.  As part of this reorganization, a new policy 4100</w:t>
      </w:r>
      <w:r w:rsidR="0029618A">
        <w:t xml:space="preserve"> (Physical Security </w:t>
      </w:r>
      <w:proofErr w:type="gramStart"/>
      <w:r w:rsidR="0029618A">
        <w:t xml:space="preserve">Program) </w:t>
      </w:r>
      <w:r w:rsidR="005D0C3B">
        <w:t xml:space="preserve"> was</w:t>
      </w:r>
      <w:proofErr w:type="gramEnd"/>
      <w:r w:rsidR="005D0C3B">
        <w:t xml:space="preserve"> created to </w:t>
      </w:r>
      <w:r w:rsidR="004648F5">
        <w:t xml:space="preserve">replace the previous “General Security Procedures” and to </w:t>
      </w:r>
      <w:r w:rsidR="005D0C3B">
        <w:t>represent the overarching policy that contains the relevant security procedures for each of the required components of the regulation, and more.</w:t>
      </w:r>
    </w:p>
    <w:p w14:paraId="0EC93A79" w14:textId="77777777" w:rsidR="00F94286" w:rsidRDefault="00F94286"/>
    <w:p w14:paraId="78DA72C6" w14:textId="28A74A5E" w:rsidR="00F94286" w:rsidRPr="00397CE2" w:rsidRDefault="004669D8" w:rsidP="00F94286">
      <w:pPr>
        <w:rPr>
          <w:b/>
          <w:bCs/>
          <w:sz w:val="28"/>
          <w:szCs w:val="28"/>
        </w:rPr>
      </w:pPr>
      <w:r>
        <w:rPr>
          <w:b/>
          <w:bCs/>
          <w:sz w:val="28"/>
          <w:szCs w:val="28"/>
        </w:rPr>
        <w:t>March 2026</w:t>
      </w:r>
    </w:p>
    <w:p w14:paraId="1F983142" w14:textId="77777777" w:rsidR="00520C36" w:rsidRDefault="00520C36" w:rsidP="00F94286">
      <w:pPr>
        <w:spacing w:after="0"/>
        <w:rPr>
          <w:b/>
          <w:bCs/>
          <w:i/>
          <w:iCs/>
        </w:rPr>
      </w:pPr>
    </w:p>
    <w:p w14:paraId="0DA5F254" w14:textId="45EA340A" w:rsidR="00520C36" w:rsidRPr="000226AA" w:rsidRDefault="00520C36" w:rsidP="00520C36">
      <w:pPr>
        <w:spacing w:after="0"/>
        <w:rPr>
          <w:b/>
          <w:bCs/>
          <w:i/>
          <w:iCs/>
        </w:rPr>
      </w:pPr>
      <w:r>
        <w:rPr>
          <w:b/>
          <w:bCs/>
          <w:i/>
          <w:iCs/>
        </w:rPr>
        <w:t>1100.</w:t>
      </w:r>
      <w:r w:rsidR="005E43E0">
        <w:rPr>
          <w:b/>
          <w:bCs/>
          <w:i/>
          <w:iCs/>
        </w:rPr>
        <w:t>20</w:t>
      </w:r>
      <w:r>
        <w:rPr>
          <w:b/>
          <w:bCs/>
          <w:i/>
          <w:iCs/>
        </w:rPr>
        <w:t xml:space="preserve"> – Supervisory Committee Governance</w:t>
      </w:r>
    </w:p>
    <w:p w14:paraId="324E2F1F" w14:textId="77777777" w:rsidR="00520C36" w:rsidRDefault="00520C36" w:rsidP="00520C36">
      <w:pPr>
        <w:spacing w:after="0"/>
        <w:rPr>
          <w:b/>
          <w:bCs/>
          <w:i/>
          <w:iCs/>
        </w:rPr>
      </w:pPr>
      <w:r w:rsidRPr="000226AA">
        <w:rPr>
          <w:b/>
          <w:bCs/>
          <w:i/>
          <w:iCs/>
        </w:rPr>
        <w:t>2026-1</w:t>
      </w:r>
    </w:p>
    <w:p w14:paraId="62E499C9" w14:textId="77777777" w:rsidR="00520C36" w:rsidRPr="00F94286" w:rsidRDefault="00520C36" w:rsidP="00520C36">
      <w:pPr>
        <w:spacing w:after="0"/>
        <w:rPr>
          <w:b/>
          <w:bCs/>
          <w:i/>
          <w:iCs/>
          <w:color w:val="EE0000"/>
        </w:rPr>
      </w:pPr>
      <w:r w:rsidRPr="00F94286">
        <w:rPr>
          <w:b/>
          <w:bCs/>
          <w:i/>
          <w:iCs/>
          <w:color w:val="EE0000"/>
        </w:rPr>
        <w:t>New Resource</w:t>
      </w:r>
    </w:p>
    <w:p w14:paraId="7C729159" w14:textId="03591767" w:rsidR="00520C36" w:rsidRDefault="00520C36" w:rsidP="00520C36">
      <w:pPr>
        <w:spacing w:after="0"/>
      </w:pPr>
      <w:proofErr w:type="gramStart"/>
      <w:r>
        <w:t>In an effort to</w:t>
      </w:r>
      <w:proofErr w:type="gramEnd"/>
      <w:r>
        <w:t xml:space="preserve"> assist credit unions with documentation of </w:t>
      </w:r>
      <w:r w:rsidR="00153FCD">
        <w:t xml:space="preserve">Supervisory Committee Governance, the attached guidelines were created. </w:t>
      </w:r>
      <w:r>
        <w:t xml:space="preserve"> </w:t>
      </w:r>
      <w:r w:rsidRPr="004A17FC">
        <w:rPr>
          <w:b/>
          <w:bCs/>
          <w:color w:val="EE0000"/>
        </w:rPr>
        <w:t>(Recommended)</w:t>
      </w:r>
    </w:p>
    <w:p w14:paraId="092BA801" w14:textId="77777777" w:rsidR="00520C36" w:rsidRDefault="00520C36" w:rsidP="00F94286">
      <w:pPr>
        <w:spacing w:after="0"/>
        <w:rPr>
          <w:b/>
          <w:bCs/>
          <w:i/>
          <w:iCs/>
        </w:rPr>
      </w:pPr>
    </w:p>
    <w:p w14:paraId="1AD8E3C0" w14:textId="77777777" w:rsidR="00520C36" w:rsidRDefault="00520C36" w:rsidP="00F94286">
      <w:pPr>
        <w:spacing w:after="0"/>
        <w:rPr>
          <w:b/>
          <w:bCs/>
          <w:i/>
          <w:iCs/>
        </w:rPr>
      </w:pPr>
    </w:p>
    <w:p w14:paraId="6AD95CE2" w14:textId="6AD8D10E" w:rsidR="00716172" w:rsidRDefault="00716172" w:rsidP="00F94286">
      <w:pPr>
        <w:spacing w:after="0"/>
        <w:rPr>
          <w:b/>
          <w:bCs/>
          <w:i/>
          <w:iCs/>
        </w:rPr>
      </w:pPr>
      <w:r>
        <w:rPr>
          <w:b/>
          <w:bCs/>
          <w:i/>
          <w:iCs/>
        </w:rPr>
        <w:lastRenderedPageBreak/>
        <w:t xml:space="preserve">Policy </w:t>
      </w:r>
      <w:r w:rsidR="00AA70A1">
        <w:rPr>
          <w:b/>
          <w:bCs/>
          <w:i/>
          <w:iCs/>
        </w:rPr>
        <w:t>2110: Bank Secrecy Act/Anti-Money Laundering Program</w:t>
      </w:r>
    </w:p>
    <w:p w14:paraId="0601AA09" w14:textId="1C292B1B" w:rsidR="00AA70A1" w:rsidRDefault="00AA70A1" w:rsidP="00F94286">
      <w:pPr>
        <w:spacing w:after="0"/>
        <w:rPr>
          <w:b/>
          <w:bCs/>
          <w:i/>
          <w:iCs/>
        </w:rPr>
      </w:pPr>
      <w:r>
        <w:rPr>
          <w:b/>
          <w:bCs/>
          <w:i/>
          <w:iCs/>
        </w:rPr>
        <w:t>2026-1</w:t>
      </w:r>
    </w:p>
    <w:p w14:paraId="0755F19F" w14:textId="7918EAD4" w:rsidR="00AA70A1" w:rsidRPr="00AA70A1" w:rsidRDefault="00AA70A1" w:rsidP="00F94286">
      <w:pPr>
        <w:spacing w:after="0"/>
      </w:pPr>
      <w:r>
        <w:t xml:space="preserve">The BSA/AML policy was updated to include a reference to the new Customer/Member Due Diligence resource created (2110.30).  In addition, </w:t>
      </w:r>
      <w:r w:rsidR="00BD2518">
        <w:t xml:space="preserve">changes were made to clarify the annual training requirement under BSA rules, </w:t>
      </w:r>
      <w:r w:rsidR="001276BC">
        <w:t xml:space="preserve">the requirement to file SARs even for attempted or cancelled transactions (if warranted), </w:t>
      </w:r>
      <w:r w:rsidR="00B96546">
        <w:t>recordkeeping requirements for shared branch transactions for monetary instruments,</w:t>
      </w:r>
      <w:r w:rsidR="008124F3">
        <w:t xml:space="preserve"> and</w:t>
      </w:r>
      <w:r w:rsidR="00B96546">
        <w:t xml:space="preserve"> </w:t>
      </w:r>
      <w:r w:rsidR="008124F3">
        <w:t xml:space="preserve">verification </w:t>
      </w:r>
      <w:r w:rsidR="007505E7">
        <w:t xml:space="preserve">requirements </w:t>
      </w:r>
      <w:r w:rsidR="008124F3">
        <w:t>for 314</w:t>
      </w:r>
      <w:r w:rsidR="007505E7">
        <w:t>(b) sharing.  There were other administrative changes made to the policy for readability</w:t>
      </w:r>
      <w:r w:rsidR="00050FDC">
        <w:t xml:space="preserve"> and clarity</w:t>
      </w:r>
      <w:r w:rsidR="007505E7">
        <w:t>.</w:t>
      </w:r>
    </w:p>
    <w:p w14:paraId="6E7AE89B" w14:textId="77777777" w:rsidR="00716172" w:rsidRDefault="00716172" w:rsidP="00F94286">
      <w:pPr>
        <w:spacing w:after="0"/>
        <w:rPr>
          <w:b/>
          <w:bCs/>
          <w:i/>
          <w:iCs/>
        </w:rPr>
      </w:pPr>
    </w:p>
    <w:p w14:paraId="7A05D5DF" w14:textId="2FCD351A" w:rsidR="00F94286" w:rsidRDefault="00F94286" w:rsidP="00F94286">
      <w:pPr>
        <w:spacing w:after="0"/>
        <w:rPr>
          <w:b/>
          <w:bCs/>
          <w:i/>
          <w:iCs/>
        </w:rPr>
      </w:pPr>
      <w:r>
        <w:rPr>
          <w:b/>
          <w:bCs/>
          <w:i/>
          <w:iCs/>
        </w:rPr>
        <w:t>2110.30 – Customer/Member Due Diligence</w:t>
      </w:r>
    </w:p>
    <w:p w14:paraId="4085B9E8" w14:textId="0A28F7F1" w:rsidR="00520C36" w:rsidRDefault="00520C36" w:rsidP="00F94286">
      <w:pPr>
        <w:spacing w:after="0"/>
        <w:rPr>
          <w:b/>
          <w:bCs/>
          <w:i/>
          <w:iCs/>
        </w:rPr>
      </w:pPr>
      <w:r>
        <w:rPr>
          <w:b/>
          <w:bCs/>
          <w:i/>
          <w:iCs/>
        </w:rPr>
        <w:t>2026-1</w:t>
      </w:r>
    </w:p>
    <w:p w14:paraId="064C4D97" w14:textId="2986C7D2" w:rsidR="00F94286" w:rsidRPr="00F94286" w:rsidRDefault="00F94286" w:rsidP="00F94286">
      <w:pPr>
        <w:spacing w:after="0"/>
        <w:rPr>
          <w:b/>
          <w:bCs/>
          <w:i/>
          <w:iCs/>
          <w:color w:val="EE0000"/>
        </w:rPr>
      </w:pPr>
      <w:r w:rsidRPr="00F94286">
        <w:rPr>
          <w:b/>
          <w:bCs/>
          <w:i/>
          <w:iCs/>
          <w:color w:val="EE0000"/>
        </w:rPr>
        <w:t>New Resource</w:t>
      </w:r>
    </w:p>
    <w:p w14:paraId="38493E59" w14:textId="1E09A2D3" w:rsidR="00F94286" w:rsidRDefault="00F94286" w:rsidP="00F94286">
      <w:r>
        <w:t xml:space="preserve">This new resource was created as a supplement to the BSA Policy 2110.  Within the BSA Policy, there is </w:t>
      </w:r>
      <w:r w:rsidR="005F4F04">
        <w:t xml:space="preserve">a </w:t>
      </w:r>
      <w:r>
        <w:t xml:space="preserve">reference to having a separate process/procedure for </w:t>
      </w:r>
      <w:r w:rsidR="004C430D">
        <w:t>Member Due Diligence</w:t>
      </w:r>
      <w:r w:rsidR="004E42F0">
        <w:t xml:space="preserve">.  This resource was created to help credit unions further develop those procedures/processes to comply with the BSA requirements. </w:t>
      </w:r>
      <w:r w:rsidR="004C430D">
        <w:t xml:space="preserve"> </w:t>
      </w:r>
      <w:r w:rsidRPr="002D09C7">
        <w:rPr>
          <w:b/>
          <w:bCs/>
          <w:color w:val="EE0000"/>
        </w:rPr>
        <w:t>(Recommended)</w:t>
      </w:r>
    </w:p>
    <w:p w14:paraId="5EBD8267" w14:textId="7AB2F256" w:rsidR="0089490E" w:rsidRDefault="0089490E" w:rsidP="0089490E">
      <w:pPr>
        <w:spacing w:after="0"/>
        <w:rPr>
          <w:b/>
          <w:bCs/>
          <w:i/>
          <w:iCs/>
        </w:rPr>
      </w:pPr>
      <w:r>
        <w:rPr>
          <w:b/>
          <w:bCs/>
          <w:i/>
          <w:iCs/>
        </w:rPr>
        <w:t xml:space="preserve">Policy 2145: </w:t>
      </w:r>
      <w:r w:rsidR="00A8008A">
        <w:rPr>
          <w:b/>
          <w:bCs/>
          <w:i/>
          <w:iCs/>
        </w:rPr>
        <w:t>Office of Foreign Assets Control</w:t>
      </w:r>
    </w:p>
    <w:p w14:paraId="2740A0B5" w14:textId="77777777" w:rsidR="0089490E" w:rsidRDefault="0089490E" w:rsidP="0089490E">
      <w:pPr>
        <w:spacing w:after="0"/>
        <w:rPr>
          <w:b/>
          <w:bCs/>
          <w:i/>
          <w:iCs/>
        </w:rPr>
      </w:pPr>
      <w:r>
        <w:rPr>
          <w:b/>
          <w:bCs/>
          <w:i/>
          <w:iCs/>
        </w:rPr>
        <w:t>2026-1</w:t>
      </w:r>
    </w:p>
    <w:p w14:paraId="7561F9D2" w14:textId="3C58F3C3" w:rsidR="0089490E" w:rsidRPr="00AA70A1" w:rsidRDefault="00A8008A" w:rsidP="0089490E">
      <w:pPr>
        <w:spacing w:after="0"/>
      </w:pPr>
      <w:r>
        <w:t>This policy was revised to be consistent with the language around the designation of a BSA/AML/OFAC Compliance officer with the BSA Policy 2110.</w:t>
      </w:r>
      <w:r w:rsidR="005971B8">
        <w:t xml:space="preserve">  Additional</w:t>
      </w:r>
      <w:r w:rsidR="0027567A">
        <w:t xml:space="preserve"> administrative changes were also made to the policy.  </w:t>
      </w:r>
      <w:r w:rsidR="0027567A" w:rsidRPr="004A17FC">
        <w:rPr>
          <w:b/>
          <w:bCs/>
          <w:color w:val="EE0000"/>
        </w:rPr>
        <w:t>(Recommended)</w:t>
      </w:r>
    </w:p>
    <w:p w14:paraId="628E17A9" w14:textId="77777777" w:rsidR="00B0107C" w:rsidRDefault="00B0107C" w:rsidP="000226AA">
      <w:pPr>
        <w:spacing w:after="0"/>
        <w:rPr>
          <w:b/>
          <w:bCs/>
          <w:i/>
          <w:iCs/>
        </w:rPr>
      </w:pPr>
    </w:p>
    <w:p w14:paraId="7EE52F71" w14:textId="4B720F0B" w:rsidR="00C50889" w:rsidRPr="000226AA" w:rsidRDefault="00C50889" w:rsidP="00C50889">
      <w:pPr>
        <w:spacing w:after="0"/>
        <w:rPr>
          <w:b/>
          <w:bCs/>
          <w:i/>
          <w:iCs/>
        </w:rPr>
      </w:pPr>
      <w:r>
        <w:rPr>
          <w:b/>
          <w:bCs/>
          <w:i/>
          <w:iCs/>
        </w:rPr>
        <w:t xml:space="preserve">Policy </w:t>
      </w:r>
      <w:r w:rsidRPr="000226AA">
        <w:rPr>
          <w:b/>
          <w:bCs/>
          <w:i/>
          <w:iCs/>
        </w:rPr>
        <w:t>7</w:t>
      </w:r>
      <w:r>
        <w:rPr>
          <w:b/>
          <w:bCs/>
          <w:i/>
          <w:iCs/>
        </w:rPr>
        <w:t>244 – Integrated Mortgage Disclosures</w:t>
      </w:r>
    </w:p>
    <w:p w14:paraId="395A0999" w14:textId="77777777" w:rsidR="00C50889" w:rsidRPr="000226AA" w:rsidRDefault="00C50889" w:rsidP="00C50889">
      <w:pPr>
        <w:spacing w:after="0"/>
        <w:rPr>
          <w:b/>
          <w:bCs/>
          <w:i/>
          <w:iCs/>
        </w:rPr>
      </w:pPr>
      <w:r w:rsidRPr="000226AA">
        <w:rPr>
          <w:b/>
          <w:bCs/>
          <w:i/>
          <w:iCs/>
        </w:rPr>
        <w:t>2026-1</w:t>
      </w:r>
    </w:p>
    <w:p w14:paraId="4E2EFCB0" w14:textId="77777777" w:rsidR="00C50889" w:rsidRDefault="00C50889" w:rsidP="00C50889">
      <w:pPr>
        <w:spacing w:after="0"/>
        <w:rPr>
          <w:b/>
          <w:bCs/>
          <w:color w:val="EE0000"/>
        </w:rPr>
      </w:pPr>
      <w:r w:rsidRPr="00B8600F">
        <w:t xml:space="preserve">On March 1, 2026, the </w:t>
      </w:r>
      <w:hyperlink r:id="rId5" w:history="1">
        <w:r w:rsidRPr="00DE0CA0">
          <w:rPr>
            <w:rStyle w:val="Hyperlink"/>
          </w:rPr>
          <w:t>CFPB’s Property Assessed Clean Energy (PACE)</w:t>
        </w:r>
      </w:hyperlink>
      <w:r w:rsidRPr="00B8600F">
        <w:t xml:space="preserve"> financing rule took effect. PACE is a non-traditional financing mechanism that allows homeowners to finance energy efficiency improvements via voluntary assessments on their property tax bill. The rule makes PACE transactions subject to the integrated disclosure and ability to repay requirements found in Regulation Z.</w:t>
      </w:r>
      <w:r>
        <w:t xml:space="preserve">  Policies 7244, 7330, 7350, 7351, and 7360 were all updated to comply with the new requirements. </w:t>
      </w:r>
      <w:r w:rsidRPr="004A17FC">
        <w:rPr>
          <w:b/>
          <w:bCs/>
          <w:color w:val="EE0000"/>
        </w:rPr>
        <w:t>(Recommended)</w:t>
      </w:r>
    </w:p>
    <w:p w14:paraId="30CF2DA7" w14:textId="77777777" w:rsidR="00C50889" w:rsidRDefault="00C50889" w:rsidP="00C50889">
      <w:pPr>
        <w:spacing w:after="0"/>
        <w:rPr>
          <w:b/>
          <w:bCs/>
          <w:color w:val="EE0000"/>
        </w:rPr>
      </w:pPr>
    </w:p>
    <w:p w14:paraId="3E591B67" w14:textId="67B66EA0" w:rsidR="00C50889" w:rsidRPr="000226AA" w:rsidRDefault="00C50889" w:rsidP="00C50889">
      <w:pPr>
        <w:spacing w:after="0"/>
        <w:rPr>
          <w:b/>
          <w:bCs/>
          <w:i/>
          <w:iCs/>
        </w:rPr>
      </w:pPr>
      <w:r>
        <w:rPr>
          <w:b/>
          <w:bCs/>
          <w:i/>
          <w:iCs/>
        </w:rPr>
        <w:t>Policy 7330 – Residential Real Estate Loans</w:t>
      </w:r>
    </w:p>
    <w:p w14:paraId="7B7D0D2A" w14:textId="77777777" w:rsidR="00C50889" w:rsidRPr="000226AA" w:rsidRDefault="00C50889" w:rsidP="00C50889">
      <w:pPr>
        <w:spacing w:after="0"/>
        <w:rPr>
          <w:b/>
          <w:bCs/>
          <w:i/>
          <w:iCs/>
        </w:rPr>
      </w:pPr>
      <w:r w:rsidRPr="000226AA">
        <w:rPr>
          <w:b/>
          <w:bCs/>
          <w:i/>
          <w:iCs/>
        </w:rPr>
        <w:t>2026-1</w:t>
      </w:r>
    </w:p>
    <w:p w14:paraId="076F00CB" w14:textId="77777777" w:rsidR="00C50889" w:rsidRDefault="00C50889" w:rsidP="00C50889">
      <w:pPr>
        <w:spacing w:after="0"/>
      </w:pPr>
      <w:r w:rsidRPr="00B8600F">
        <w:t xml:space="preserve">On March 1, 2026, the </w:t>
      </w:r>
      <w:hyperlink r:id="rId6" w:history="1">
        <w:r w:rsidRPr="00DE0CA0">
          <w:rPr>
            <w:rStyle w:val="Hyperlink"/>
          </w:rPr>
          <w:t>CFPB’s Property Assessed Clean Energy (PACE)</w:t>
        </w:r>
      </w:hyperlink>
      <w:r w:rsidRPr="00B8600F">
        <w:t xml:space="preserve"> financing rule took effect. PACE is a non-traditional financing mechanism that allows homeowners to finance energy efficiency improvements via voluntary assessments on their property tax bill. The rule makes PACE transactions subject to the integrated disclosure and ability to repay </w:t>
      </w:r>
      <w:r w:rsidRPr="00B8600F">
        <w:lastRenderedPageBreak/>
        <w:t>requirements found in Regulation Z.</w:t>
      </w:r>
      <w:r>
        <w:t xml:space="preserve">  Policies 7244, 7330, 7350, 7351, and 7360 were all updated to comply with the new requirements. </w:t>
      </w:r>
      <w:r w:rsidRPr="004A17FC">
        <w:rPr>
          <w:b/>
          <w:bCs/>
          <w:color w:val="EE0000"/>
        </w:rPr>
        <w:t>(Recommended)</w:t>
      </w:r>
    </w:p>
    <w:p w14:paraId="6D966978" w14:textId="77777777" w:rsidR="00C50889" w:rsidRDefault="00C50889" w:rsidP="00C50889">
      <w:pPr>
        <w:spacing w:after="0"/>
      </w:pPr>
    </w:p>
    <w:p w14:paraId="693E2A4C" w14:textId="2F2F2148" w:rsidR="00C50889" w:rsidRPr="000226AA" w:rsidRDefault="00C50889" w:rsidP="00C50889">
      <w:pPr>
        <w:spacing w:after="0"/>
        <w:rPr>
          <w:b/>
          <w:bCs/>
          <w:i/>
          <w:iCs/>
        </w:rPr>
      </w:pPr>
      <w:r>
        <w:rPr>
          <w:b/>
          <w:bCs/>
          <w:i/>
          <w:iCs/>
        </w:rPr>
        <w:t xml:space="preserve">Policy </w:t>
      </w:r>
      <w:r w:rsidRPr="000226AA">
        <w:rPr>
          <w:b/>
          <w:bCs/>
          <w:i/>
          <w:iCs/>
        </w:rPr>
        <w:t>735</w:t>
      </w:r>
      <w:r>
        <w:rPr>
          <w:b/>
          <w:bCs/>
          <w:i/>
          <w:iCs/>
        </w:rPr>
        <w:t>0</w:t>
      </w:r>
      <w:r w:rsidRPr="000226AA">
        <w:rPr>
          <w:b/>
          <w:bCs/>
          <w:i/>
          <w:iCs/>
        </w:rPr>
        <w:t xml:space="preserve"> – Ability to Repay</w:t>
      </w:r>
    </w:p>
    <w:p w14:paraId="10E9842C" w14:textId="77777777" w:rsidR="00C50889" w:rsidRPr="000226AA" w:rsidRDefault="00C50889" w:rsidP="00C50889">
      <w:pPr>
        <w:spacing w:after="0"/>
        <w:rPr>
          <w:b/>
          <w:bCs/>
          <w:i/>
          <w:iCs/>
        </w:rPr>
      </w:pPr>
      <w:r w:rsidRPr="000226AA">
        <w:rPr>
          <w:b/>
          <w:bCs/>
          <w:i/>
          <w:iCs/>
        </w:rPr>
        <w:t>2026-1</w:t>
      </w:r>
    </w:p>
    <w:p w14:paraId="6980484D" w14:textId="77777777" w:rsidR="00C50889" w:rsidRDefault="00C50889" w:rsidP="00C50889">
      <w:pPr>
        <w:spacing w:after="0"/>
      </w:pPr>
      <w:r w:rsidRPr="00B8600F">
        <w:t xml:space="preserve">On March 1, 2026, the </w:t>
      </w:r>
      <w:hyperlink r:id="rId7" w:history="1">
        <w:r w:rsidRPr="00DE0CA0">
          <w:rPr>
            <w:rStyle w:val="Hyperlink"/>
          </w:rPr>
          <w:t>CFPB’s Property Assessed Clean Energy (PACE)</w:t>
        </w:r>
      </w:hyperlink>
      <w:r w:rsidRPr="00B8600F">
        <w:t xml:space="preserve"> financing rule took effect. PACE is a non-traditional financing mechanism that allows homeowners to finance energy efficiency improvements via voluntary assessments on their property tax bill. The rule makes PACE transactions subject to the integrated disclosure and ability to repay requirements found in Regulation Z.</w:t>
      </w:r>
      <w:r>
        <w:t xml:space="preserve">  Policies 7244, 7330, 7350, 7351, and 7360 were all updated to comply with the new requirements. </w:t>
      </w:r>
      <w:r w:rsidRPr="004A17FC">
        <w:rPr>
          <w:b/>
          <w:bCs/>
          <w:color w:val="EE0000"/>
        </w:rPr>
        <w:t>(Recommended)</w:t>
      </w:r>
    </w:p>
    <w:p w14:paraId="2DA9E18A" w14:textId="77777777" w:rsidR="00C50889" w:rsidRDefault="00C50889" w:rsidP="00C50889">
      <w:pPr>
        <w:spacing w:after="0"/>
      </w:pPr>
    </w:p>
    <w:p w14:paraId="0FB558F3" w14:textId="77777777" w:rsidR="00EF6DF7" w:rsidRDefault="00EF6DF7" w:rsidP="000226AA">
      <w:pPr>
        <w:spacing w:after="0"/>
        <w:rPr>
          <w:b/>
          <w:bCs/>
          <w:i/>
          <w:iCs/>
        </w:rPr>
      </w:pPr>
    </w:p>
    <w:p w14:paraId="65A40AA8" w14:textId="6B6D9885" w:rsidR="00220720" w:rsidRPr="000226AA" w:rsidRDefault="00C50889" w:rsidP="000226AA">
      <w:pPr>
        <w:spacing w:after="0"/>
        <w:rPr>
          <w:b/>
          <w:bCs/>
          <w:i/>
          <w:iCs/>
        </w:rPr>
      </w:pPr>
      <w:r>
        <w:rPr>
          <w:b/>
          <w:bCs/>
          <w:i/>
          <w:iCs/>
        </w:rPr>
        <w:t xml:space="preserve">Policy </w:t>
      </w:r>
      <w:r w:rsidR="00220720" w:rsidRPr="000226AA">
        <w:rPr>
          <w:b/>
          <w:bCs/>
          <w:i/>
          <w:iCs/>
        </w:rPr>
        <w:t>7351 – Small Creditor Ability to Repay</w:t>
      </w:r>
    </w:p>
    <w:p w14:paraId="6F77ADC4" w14:textId="5E3F88B2" w:rsidR="000226AA" w:rsidRPr="000226AA" w:rsidRDefault="000226AA" w:rsidP="000226AA">
      <w:pPr>
        <w:spacing w:after="0"/>
        <w:rPr>
          <w:b/>
          <w:bCs/>
          <w:i/>
          <w:iCs/>
        </w:rPr>
      </w:pPr>
      <w:r w:rsidRPr="000226AA">
        <w:rPr>
          <w:b/>
          <w:bCs/>
          <w:i/>
          <w:iCs/>
        </w:rPr>
        <w:t>2026-1</w:t>
      </w:r>
    </w:p>
    <w:p w14:paraId="051BA77D" w14:textId="4F826220" w:rsidR="00220720" w:rsidRDefault="00B8600F" w:rsidP="000226AA">
      <w:pPr>
        <w:spacing w:after="0"/>
        <w:rPr>
          <w:b/>
          <w:bCs/>
          <w:color w:val="EE0000"/>
        </w:rPr>
      </w:pPr>
      <w:r w:rsidRPr="00B8600F">
        <w:t xml:space="preserve">On March 1, 2026, the </w:t>
      </w:r>
      <w:hyperlink r:id="rId8" w:history="1">
        <w:r w:rsidRPr="00DE0CA0">
          <w:rPr>
            <w:rStyle w:val="Hyperlink"/>
          </w:rPr>
          <w:t>CFPB’s Property Assessed Clean Energy (PACE)</w:t>
        </w:r>
      </w:hyperlink>
      <w:r w:rsidRPr="00B8600F">
        <w:t xml:space="preserve"> financing rule took effect. PACE is a non-traditional financing mechanism that allows homeowners to finance energy efficiency improvements via voluntary assessments on their property tax bill. The rule makes PACE transactions subject to the integrated disclosure and ability to repay requirements found in Regulation Z.</w:t>
      </w:r>
      <w:r w:rsidR="00D42B55">
        <w:t xml:space="preserve">  Polic</w:t>
      </w:r>
      <w:r w:rsidR="0065400C">
        <w:t>ies 7244, 7330, 7350,</w:t>
      </w:r>
      <w:r w:rsidR="00D42B55">
        <w:t xml:space="preserve"> 7351, </w:t>
      </w:r>
      <w:r w:rsidR="0065400C">
        <w:t xml:space="preserve">and 7360 were all updated to </w:t>
      </w:r>
      <w:r w:rsidR="004A17FC">
        <w:t xml:space="preserve">comply with the new requirements. </w:t>
      </w:r>
      <w:r w:rsidR="004A17FC" w:rsidRPr="004A17FC">
        <w:rPr>
          <w:b/>
          <w:bCs/>
          <w:color w:val="EE0000"/>
        </w:rPr>
        <w:t>(Recommended)</w:t>
      </w:r>
    </w:p>
    <w:p w14:paraId="19A083A6" w14:textId="77777777" w:rsidR="006D0952" w:rsidRDefault="006D0952" w:rsidP="006D0952">
      <w:pPr>
        <w:spacing w:after="0"/>
        <w:rPr>
          <w:b/>
          <w:bCs/>
          <w:i/>
          <w:iCs/>
        </w:rPr>
      </w:pPr>
    </w:p>
    <w:p w14:paraId="1B9EC488" w14:textId="77777777" w:rsidR="006D0952" w:rsidRPr="006D0952" w:rsidRDefault="006D0952" w:rsidP="006D0952">
      <w:pPr>
        <w:spacing w:after="0"/>
        <w:rPr>
          <w:b/>
          <w:bCs/>
          <w:i/>
          <w:iCs/>
        </w:rPr>
      </w:pPr>
    </w:p>
    <w:p w14:paraId="3DE7417C" w14:textId="41308194" w:rsidR="006D0952" w:rsidRPr="006D0952" w:rsidRDefault="006D0952" w:rsidP="006D0952">
      <w:pPr>
        <w:spacing w:after="0"/>
        <w:rPr>
          <w:b/>
          <w:bCs/>
          <w:i/>
          <w:iCs/>
        </w:rPr>
      </w:pPr>
      <w:r w:rsidRPr="006D0952">
        <w:rPr>
          <w:b/>
          <w:bCs/>
          <w:i/>
          <w:iCs/>
        </w:rPr>
        <w:t>Policy 73</w:t>
      </w:r>
      <w:r w:rsidR="00FF0865">
        <w:rPr>
          <w:b/>
          <w:bCs/>
          <w:i/>
          <w:iCs/>
        </w:rPr>
        <w:t>60</w:t>
      </w:r>
      <w:r w:rsidRPr="006D0952">
        <w:rPr>
          <w:b/>
          <w:bCs/>
          <w:i/>
          <w:iCs/>
        </w:rPr>
        <w:t xml:space="preserve"> – </w:t>
      </w:r>
      <w:r w:rsidR="00FF0865">
        <w:rPr>
          <w:b/>
          <w:bCs/>
          <w:i/>
          <w:iCs/>
        </w:rPr>
        <w:t>Mortgage Servicing</w:t>
      </w:r>
    </w:p>
    <w:p w14:paraId="6BC80524" w14:textId="77777777" w:rsidR="006D0952" w:rsidRPr="006D0952" w:rsidRDefault="006D0952" w:rsidP="006D0952">
      <w:pPr>
        <w:spacing w:after="0"/>
        <w:rPr>
          <w:b/>
          <w:bCs/>
          <w:i/>
          <w:iCs/>
        </w:rPr>
      </w:pPr>
      <w:r w:rsidRPr="006D0952">
        <w:rPr>
          <w:b/>
          <w:bCs/>
          <w:i/>
          <w:iCs/>
        </w:rPr>
        <w:t>2026-1</w:t>
      </w:r>
    </w:p>
    <w:p w14:paraId="737A20C6" w14:textId="4969E167" w:rsidR="006D0952" w:rsidRPr="006D0952" w:rsidRDefault="006D0952" w:rsidP="006D0952">
      <w:pPr>
        <w:spacing w:after="0"/>
      </w:pPr>
      <w:r w:rsidRPr="006D0952">
        <w:t xml:space="preserve">On March 1, 2026, the </w:t>
      </w:r>
      <w:hyperlink r:id="rId9" w:history="1">
        <w:r w:rsidRPr="006D0952">
          <w:rPr>
            <w:rStyle w:val="Hyperlink"/>
          </w:rPr>
          <w:t>CFPB’s Property Assessed Clean Energy (PACE)</w:t>
        </w:r>
      </w:hyperlink>
      <w:r w:rsidRPr="006D0952">
        <w:t xml:space="preserve"> financing rule took effect. PACE is a non-traditional financing mechanism that allows homeowners to finance energy efficiency improvements via voluntary assessments on their property tax bill. The rule makes PACE transactions subject to the integrated disclosure and ability to repay requirements found in Regulation Z.</w:t>
      </w:r>
      <w:r w:rsidR="00FC3B8E">
        <w:t xml:space="preserve"> </w:t>
      </w:r>
      <w:r w:rsidR="00916E1A">
        <w:t xml:space="preserve">However, PACE transactions are not subject to the periodic statement requirement for residential mortgage loans. Policies 7244, </w:t>
      </w:r>
      <w:r w:rsidR="0095244F">
        <w:t>7330, 7350, 7351, and 7360 were all updated to comply with the new requirements.</w:t>
      </w:r>
      <w:r w:rsidRPr="006D0952">
        <w:t xml:space="preserve">  </w:t>
      </w:r>
      <w:r w:rsidRPr="006D0952">
        <w:rPr>
          <w:b/>
          <w:bCs/>
        </w:rPr>
        <w:t>(Recommended)</w:t>
      </w:r>
    </w:p>
    <w:p w14:paraId="1C77C7CB" w14:textId="77777777" w:rsidR="00F94286" w:rsidRDefault="00F94286"/>
    <w:p w14:paraId="2DB6640E" w14:textId="77777777" w:rsidR="00C50889" w:rsidRPr="00D43628" w:rsidRDefault="00C50889" w:rsidP="00C50889">
      <w:pPr>
        <w:spacing w:after="0"/>
        <w:rPr>
          <w:b/>
          <w:bCs/>
          <w:i/>
          <w:iCs/>
          <w:u w:val="single"/>
        </w:rPr>
      </w:pPr>
      <w:r w:rsidRPr="00D43628">
        <w:rPr>
          <w:b/>
          <w:bCs/>
          <w:i/>
          <w:iCs/>
          <w:u w:val="single"/>
        </w:rPr>
        <w:t>UPDATED SECTION 4000 – SECURITY</w:t>
      </w:r>
    </w:p>
    <w:p w14:paraId="492932EB" w14:textId="77777777" w:rsidR="00C50889" w:rsidRDefault="00C50889" w:rsidP="00C50889">
      <w:pPr>
        <w:spacing w:after="0"/>
        <w:rPr>
          <w:b/>
          <w:bCs/>
          <w:i/>
          <w:iCs/>
        </w:rPr>
      </w:pPr>
    </w:p>
    <w:p w14:paraId="4C93464D" w14:textId="66A0696D" w:rsidR="00C50889" w:rsidRPr="002E5C0B" w:rsidRDefault="00C50889" w:rsidP="00C50889">
      <w:pPr>
        <w:spacing w:after="0"/>
        <w:rPr>
          <w:b/>
          <w:bCs/>
          <w:i/>
          <w:iCs/>
        </w:rPr>
      </w:pPr>
      <w:r>
        <w:rPr>
          <w:b/>
          <w:bCs/>
          <w:i/>
          <w:iCs/>
        </w:rPr>
        <w:t xml:space="preserve">Policy </w:t>
      </w:r>
      <w:r w:rsidRPr="002E5C0B">
        <w:rPr>
          <w:b/>
          <w:bCs/>
          <w:i/>
          <w:iCs/>
        </w:rPr>
        <w:t>4100 – Physical Security Program</w:t>
      </w:r>
    </w:p>
    <w:p w14:paraId="48FCC526" w14:textId="77777777" w:rsidR="00C50889" w:rsidRPr="002E5C0B" w:rsidRDefault="00C50889" w:rsidP="00C50889">
      <w:pPr>
        <w:spacing w:after="0"/>
        <w:rPr>
          <w:b/>
          <w:bCs/>
          <w:i/>
          <w:iCs/>
        </w:rPr>
      </w:pPr>
      <w:r w:rsidRPr="002E5C0B">
        <w:rPr>
          <w:b/>
          <w:bCs/>
          <w:i/>
          <w:iCs/>
        </w:rPr>
        <w:t>2026-1</w:t>
      </w:r>
    </w:p>
    <w:p w14:paraId="24242018" w14:textId="77777777" w:rsidR="00C50889" w:rsidRPr="002E5C0B" w:rsidRDefault="00C50889" w:rsidP="00C50889">
      <w:pPr>
        <w:spacing w:after="0"/>
        <w:rPr>
          <w:b/>
          <w:bCs/>
          <w:i/>
          <w:iCs/>
          <w:color w:val="EE0000"/>
        </w:rPr>
      </w:pPr>
      <w:r w:rsidRPr="002E5C0B">
        <w:rPr>
          <w:b/>
          <w:bCs/>
          <w:i/>
          <w:iCs/>
          <w:color w:val="EE0000"/>
        </w:rPr>
        <w:lastRenderedPageBreak/>
        <w:t>New Policy</w:t>
      </w:r>
    </w:p>
    <w:p w14:paraId="18EFF1AB" w14:textId="77777777" w:rsidR="00C50889" w:rsidRPr="00501741" w:rsidRDefault="00C50889" w:rsidP="00C50889">
      <w:pPr>
        <w:spacing w:after="0"/>
      </w:pPr>
      <w:r>
        <w:t xml:space="preserve">This new policy was created to replace the prior “General Security Procedures,” which is now included as 4100.10.  NCUA Rules Part 748 require the credit union to have a security program that is designed to protect the credit union from robberies, burglaries, larcenies, and embezzlement.  While each of these components existed in this section with CU PolicyPro, they were developed as procedures.  This policy was created to represent the overarching policy that contains the relevant security procedures for each of the required components of the regulation and more. </w:t>
      </w:r>
      <w:r w:rsidRPr="00EF6DF7">
        <w:rPr>
          <w:b/>
          <w:bCs/>
          <w:color w:val="EE0000"/>
        </w:rPr>
        <w:t>(Recommended)</w:t>
      </w:r>
    </w:p>
    <w:p w14:paraId="4816E265" w14:textId="77777777" w:rsidR="00C50889" w:rsidRDefault="00C50889" w:rsidP="00C50889">
      <w:pPr>
        <w:spacing w:after="0"/>
        <w:rPr>
          <w:b/>
          <w:bCs/>
          <w:i/>
          <w:iCs/>
        </w:rPr>
      </w:pPr>
    </w:p>
    <w:p w14:paraId="30F81C27" w14:textId="77777777" w:rsidR="00C50889" w:rsidRPr="002E5C0B" w:rsidRDefault="00C50889" w:rsidP="00C50889">
      <w:pPr>
        <w:spacing w:after="0"/>
        <w:rPr>
          <w:b/>
          <w:bCs/>
          <w:i/>
          <w:iCs/>
        </w:rPr>
      </w:pPr>
      <w:r w:rsidRPr="002E5C0B">
        <w:rPr>
          <w:b/>
          <w:bCs/>
          <w:i/>
          <w:iCs/>
        </w:rPr>
        <w:t>4100</w:t>
      </w:r>
      <w:r>
        <w:rPr>
          <w:b/>
          <w:bCs/>
          <w:i/>
          <w:iCs/>
        </w:rPr>
        <w:t>.10</w:t>
      </w:r>
      <w:r w:rsidRPr="002E5C0B">
        <w:rPr>
          <w:b/>
          <w:bCs/>
          <w:i/>
          <w:iCs/>
        </w:rPr>
        <w:t xml:space="preserve"> – </w:t>
      </w:r>
      <w:r>
        <w:rPr>
          <w:b/>
          <w:bCs/>
          <w:i/>
          <w:iCs/>
        </w:rPr>
        <w:t>General Security Procedures</w:t>
      </w:r>
    </w:p>
    <w:p w14:paraId="395CC761" w14:textId="77777777" w:rsidR="00C50889" w:rsidRPr="002E5C0B" w:rsidRDefault="00C50889" w:rsidP="00C50889">
      <w:pPr>
        <w:spacing w:after="0"/>
        <w:rPr>
          <w:b/>
          <w:bCs/>
          <w:i/>
          <w:iCs/>
        </w:rPr>
      </w:pPr>
      <w:r w:rsidRPr="002E5C0B">
        <w:rPr>
          <w:b/>
          <w:bCs/>
          <w:i/>
          <w:iCs/>
        </w:rPr>
        <w:t>2026-1</w:t>
      </w:r>
    </w:p>
    <w:p w14:paraId="3759AB75" w14:textId="54FCA1DE" w:rsidR="00C50889" w:rsidRDefault="00C50889" w:rsidP="00C50889">
      <w:pPr>
        <w:spacing w:after="0"/>
        <w:rPr>
          <w:b/>
          <w:bCs/>
          <w:color w:val="EE0000"/>
        </w:rPr>
      </w:pPr>
      <w:r>
        <w:t xml:space="preserve">This previous policy 4100 is being revised to be accurately captured as a procedure (4100.10) and part of the Credit Union’s overall Security Program.  Content within prior policy 4200 was incorporated into these procedures to document the Credit Union’s security devices, such as bait money and silent alarms that are utilized as part of the Program.  </w:t>
      </w:r>
      <w:r w:rsidR="00D14EFB" w:rsidRPr="00D14EFB">
        <w:t>Content within prior policy 4300, Computer Security and Control, was also incorporated into these procedures. Policies 4200 and 4300 have been retired from CU PolicyPro</w:t>
      </w:r>
      <w:r w:rsidR="00D14EFB">
        <w:t xml:space="preserve">. </w:t>
      </w:r>
      <w:r>
        <w:t xml:space="preserve">Additional changes were made to update the resource. </w:t>
      </w:r>
      <w:r w:rsidRPr="00EF6DF7">
        <w:rPr>
          <w:b/>
          <w:bCs/>
          <w:color w:val="EE0000"/>
        </w:rPr>
        <w:t>(Recommended)</w:t>
      </w:r>
    </w:p>
    <w:p w14:paraId="06136B78" w14:textId="77777777" w:rsidR="00C50889" w:rsidRDefault="00C50889" w:rsidP="00C50889">
      <w:pPr>
        <w:spacing w:after="0"/>
        <w:rPr>
          <w:b/>
          <w:bCs/>
          <w:color w:val="EE0000"/>
        </w:rPr>
      </w:pPr>
    </w:p>
    <w:p w14:paraId="320E8468" w14:textId="77777777" w:rsidR="00C50889" w:rsidRPr="002E5C0B" w:rsidRDefault="00C50889" w:rsidP="00C50889">
      <w:pPr>
        <w:spacing w:after="0"/>
        <w:rPr>
          <w:b/>
          <w:bCs/>
          <w:i/>
          <w:iCs/>
        </w:rPr>
      </w:pPr>
      <w:r w:rsidRPr="002E5C0B">
        <w:rPr>
          <w:b/>
          <w:bCs/>
          <w:i/>
          <w:iCs/>
        </w:rPr>
        <w:t>4100</w:t>
      </w:r>
      <w:r>
        <w:rPr>
          <w:b/>
          <w:bCs/>
          <w:i/>
          <w:iCs/>
        </w:rPr>
        <w:t>.20</w:t>
      </w:r>
      <w:r w:rsidRPr="002E5C0B">
        <w:rPr>
          <w:b/>
          <w:bCs/>
          <w:i/>
          <w:iCs/>
        </w:rPr>
        <w:t xml:space="preserve"> – </w:t>
      </w:r>
      <w:r>
        <w:rPr>
          <w:b/>
          <w:bCs/>
          <w:i/>
          <w:iCs/>
        </w:rPr>
        <w:t>Burglary Procedures</w:t>
      </w:r>
    </w:p>
    <w:p w14:paraId="71FA4AE4" w14:textId="77777777" w:rsidR="00C50889" w:rsidRPr="002E5C0B" w:rsidRDefault="00C50889" w:rsidP="00C50889">
      <w:pPr>
        <w:spacing w:after="0"/>
        <w:rPr>
          <w:b/>
          <w:bCs/>
          <w:i/>
          <w:iCs/>
        </w:rPr>
      </w:pPr>
      <w:r w:rsidRPr="002E5C0B">
        <w:rPr>
          <w:b/>
          <w:bCs/>
          <w:i/>
          <w:iCs/>
        </w:rPr>
        <w:t>2026-1</w:t>
      </w:r>
    </w:p>
    <w:p w14:paraId="2A18071D" w14:textId="77777777" w:rsidR="00C50889" w:rsidRPr="00501741" w:rsidRDefault="00C50889" w:rsidP="00C50889">
      <w:pPr>
        <w:spacing w:after="0"/>
      </w:pPr>
      <w:r>
        <w:t xml:space="preserve">This previous policy 4110 is being revised to be accurately captured as a procedure (4100.20) and part of the Credit Union’s overall Security Program.  Additional content was added to include procedures for staff, law enforcement coordination, and training.  Additional changes were made to improve the content of the resource. </w:t>
      </w:r>
      <w:r w:rsidRPr="00EF6DF7">
        <w:rPr>
          <w:b/>
          <w:bCs/>
          <w:color w:val="EE0000"/>
        </w:rPr>
        <w:t>(Recommended)</w:t>
      </w:r>
    </w:p>
    <w:p w14:paraId="76D5A7CB" w14:textId="77777777" w:rsidR="00C50889" w:rsidRDefault="00C50889" w:rsidP="00C50889">
      <w:pPr>
        <w:spacing w:after="0"/>
      </w:pPr>
    </w:p>
    <w:p w14:paraId="7D9302CA" w14:textId="77777777" w:rsidR="00C50889" w:rsidRPr="002E5C0B" w:rsidRDefault="00C50889" w:rsidP="00C50889">
      <w:pPr>
        <w:spacing w:after="0"/>
        <w:rPr>
          <w:b/>
          <w:bCs/>
          <w:i/>
          <w:iCs/>
        </w:rPr>
      </w:pPr>
      <w:r w:rsidRPr="002E5C0B">
        <w:rPr>
          <w:b/>
          <w:bCs/>
          <w:i/>
          <w:iCs/>
        </w:rPr>
        <w:t>4100</w:t>
      </w:r>
      <w:r>
        <w:rPr>
          <w:b/>
          <w:bCs/>
          <w:i/>
          <w:iCs/>
        </w:rPr>
        <w:t>.30</w:t>
      </w:r>
      <w:r w:rsidRPr="002E5C0B">
        <w:rPr>
          <w:b/>
          <w:bCs/>
          <w:i/>
          <w:iCs/>
        </w:rPr>
        <w:t xml:space="preserve"> – </w:t>
      </w:r>
      <w:r>
        <w:rPr>
          <w:b/>
          <w:bCs/>
          <w:i/>
          <w:iCs/>
        </w:rPr>
        <w:t>Kidnapping, Hostage Situation, or Extortion Procedures</w:t>
      </w:r>
    </w:p>
    <w:p w14:paraId="0BDEFCE4" w14:textId="77777777" w:rsidR="00C50889" w:rsidRPr="002E5C0B" w:rsidRDefault="00C50889" w:rsidP="00C50889">
      <w:pPr>
        <w:spacing w:after="0"/>
        <w:rPr>
          <w:b/>
          <w:bCs/>
          <w:i/>
          <w:iCs/>
        </w:rPr>
      </w:pPr>
      <w:r w:rsidRPr="002E5C0B">
        <w:rPr>
          <w:b/>
          <w:bCs/>
          <w:i/>
          <w:iCs/>
        </w:rPr>
        <w:t>2026-1</w:t>
      </w:r>
    </w:p>
    <w:p w14:paraId="049873E6" w14:textId="77777777" w:rsidR="00C50889" w:rsidRPr="00501741" w:rsidRDefault="00C50889" w:rsidP="00C50889">
      <w:pPr>
        <w:spacing w:after="0"/>
      </w:pPr>
      <w:r>
        <w:t xml:space="preserve">This previous policy 4130 is being revised to be accurately captured as a procedure (4100.30) and part of the Credit Union’s overall Security Program.  Revisions were made to improve the content and readability of the resource. </w:t>
      </w:r>
      <w:r w:rsidRPr="00EF6DF7">
        <w:rPr>
          <w:b/>
          <w:bCs/>
          <w:color w:val="EE0000"/>
        </w:rPr>
        <w:t>(Recommended)</w:t>
      </w:r>
    </w:p>
    <w:p w14:paraId="67A2F374" w14:textId="77777777" w:rsidR="00C50889" w:rsidRPr="00501741" w:rsidRDefault="00C50889" w:rsidP="00C50889">
      <w:pPr>
        <w:spacing w:after="0"/>
      </w:pPr>
    </w:p>
    <w:p w14:paraId="71628C1E" w14:textId="77777777" w:rsidR="00C50889" w:rsidRPr="002E5C0B" w:rsidRDefault="00C50889" w:rsidP="00C50889">
      <w:pPr>
        <w:spacing w:after="0"/>
        <w:rPr>
          <w:b/>
          <w:bCs/>
          <w:i/>
          <w:iCs/>
        </w:rPr>
      </w:pPr>
      <w:r w:rsidRPr="002E5C0B">
        <w:rPr>
          <w:b/>
          <w:bCs/>
          <w:i/>
          <w:iCs/>
        </w:rPr>
        <w:t>4100</w:t>
      </w:r>
      <w:r>
        <w:rPr>
          <w:b/>
          <w:bCs/>
          <w:i/>
          <w:iCs/>
        </w:rPr>
        <w:t>.40</w:t>
      </w:r>
      <w:r w:rsidRPr="002E5C0B">
        <w:rPr>
          <w:b/>
          <w:bCs/>
          <w:i/>
          <w:iCs/>
        </w:rPr>
        <w:t xml:space="preserve"> – </w:t>
      </w:r>
      <w:r>
        <w:rPr>
          <w:b/>
          <w:bCs/>
          <w:i/>
          <w:iCs/>
        </w:rPr>
        <w:t>Robbery Procedures</w:t>
      </w:r>
    </w:p>
    <w:p w14:paraId="6CA65913" w14:textId="77777777" w:rsidR="00C50889" w:rsidRPr="002E5C0B" w:rsidRDefault="00C50889" w:rsidP="00C50889">
      <w:pPr>
        <w:spacing w:after="0"/>
        <w:rPr>
          <w:b/>
          <w:bCs/>
          <w:i/>
          <w:iCs/>
        </w:rPr>
      </w:pPr>
      <w:r w:rsidRPr="002E5C0B">
        <w:rPr>
          <w:b/>
          <w:bCs/>
          <w:i/>
          <w:iCs/>
        </w:rPr>
        <w:t>2026-1</w:t>
      </w:r>
    </w:p>
    <w:p w14:paraId="44B4299C" w14:textId="77777777" w:rsidR="00C50889" w:rsidRDefault="00C50889" w:rsidP="00C50889">
      <w:pPr>
        <w:spacing w:after="0"/>
        <w:rPr>
          <w:b/>
          <w:bCs/>
          <w:color w:val="EE0000"/>
        </w:rPr>
      </w:pPr>
      <w:r>
        <w:t xml:space="preserve">This previous policy 4140 is being revised to be accurately captured as a procedure (4100.40) and part of the Credit Union’s overall Security Program.  Revisions were made to improve the content with additional steps and guidelines. </w:t>
      </w:r>
      <w:r w:rsidRPr="00EF6DF7">
        <w:rPr>
          <w:b/>
          <w:bCs/>
          <w:color w:val="EE0000"/>
        </w:rPr>
        <w:t>(Recommended)</w:t>
      </w:r>
    </w:p>
    <w:p w14:paraId="4EAD1B50" w14:textId="77777777" w:rsidR="00C50889" w:rsidRDefault="00C50889" w:rsidP="00C50889">
      <w:pPr>
        <w:spacing w:after="0"/>
        <w:rPr>
          <w:b/>
          <w:bCs/>
          <w:color w:val="EE0000"/>
        </w:rPr>
      </w:pPr>
    </w:p>
    <w:p w14:paraId="61FDBD81" w14:textId="77777777" w:rsidR="00C50889" w:rsidRPr="002E5C0B" w:rsidRDefault="00C50889" w:rsidP="00C50889">
      <w:pPr>
        <w:spacing w:after="0"/>
        <w:rPr>
          <w:b/>
          <w:bCs/>
          <w:i/>
          <w:iCs/>
        </w:rPr>
      </w:pPr>
      <w:r w:rsidRPr="002E5C0B">
        <w:rPr>
          <w:b/>
          <w:bCs/>
          <w:i/>
          <w:iCs/>
        </w:rPr>
        <w:lastRenderedPageBreak/>
        <w:t>4100</w:t>
      </w:r>
      <w:r>
        <w:rPr>
          <w:b/>
          <w:bCs/>
          <w:i/>
          <w:iCs/>
        </w:rPr>
        <w:t>.50</w:t>
      </w:r>
      <w:r w:rsidRPr="002E5C0B">
        <w:rPr>
          <w:b/>
          <w:bCs/>
          <w:i/>
          <w:iCs/>
        </w:rPr>
        <w:t xml:space="preserve"> – </w:t>
      </w:r>
      <w:r>
        <w:rPr>
          <w:b/>
          <w:bCs/>
          <w:i/>
          <w:iCs/>
        </w:rPr>
        <w:t>Workplace Violence</w:t>
      </w:r>
    </w:p>
    <w:p w14:paraId="5E5BD7DA" w14:textId="77777777" w:rsidR="00C50889" w:rsidRPr="002E5C0B" w:rsidRDefault="00C50889" w:rsidP="00C50889">
      <w:pPr>
        <w:spacing w:after="0"/>
        <w:rPr>
          <w:b/>
          <w:bCs/>
          <w:i/>
          <w:iCs/>
        </w:rPr>
      </w:pPr>
      <w:r w:rsidRPr="002E5C0B">
        <w:rPr>
          <w:b/>
          <w:bCs/>
          <w:i/>
          <w:iCs/>
        </w:rPr>
        <w:t>2026-1</w:t>
      </w:r>
    </w:p>
    <w:p w14:paraId="0474A5CF" w14:textId="77777777" w:rsidR="00C50889" w:rsidRPr="00501741" w:rsidRDefault="00C50889" w:rsidP="00C50889">
      <w:pPr>
        <w:spacing w:after="0"/>
      </w:pPr>
      <w:r>
        <w:t xml:space="preserve">This previous policy 4150 is being revised to be accurately captured as a procedure (4100.50) and part of the Credit Union’s overall Security Program.  Revisions were made to improve the content and readability. </w:t>
      </w:r>
      <w:r w:rsidRPr="00EF6DF7">
        <w:rPr>
          <w:b/>
          <w:bCs/>
          <w:color w:val="EE0000"/>
        </w:rPr>
        <w:t>(Recommended)</w:t>
      </w:r>
    </w:p>
    <w:p w14:paraId="0A09A0FD" w14:textId="77777777" w:rsidR="00C50889" w:rsidRDefault="00C50889" w:rsidP="00C50889">
      <w:pPr>
        <w:spacing w:after="0"/>
      </w:pPr>
    </w:p>
    <w:p w14:paraId="2E71B286" w14:textId="77777777" w:rsidR="00C50889" w:rsidRPr="002E5C0B" w:rsidRDefault="00C50889" w:rsidP="00C50889">
      <w:pPr>
        <w:spacing w:after="0"/>
        <w:rPr>
          <w:b/>
          <w:bCs/>
          <w:i/>
          <w:iCs/>
        </w:rPr>
      </w:pPr>
      <w:r w:rsidRPr="002E5C0B">
        <w:rPr>
          <w:b/>
          <w:bCs/>
          <w:i/>
          <w:iCs/>
        </w:rPr>
        <w:t>4100</w:t>
      </w:r>
      <w:r>
        <w:rPr>
          <w:b/>
          <w:bCs/>
          <w:i/>
          <w:iCs/>
        </w:rPr>
        <w:t>.60</w:t>
      </w:r>
      <w:r w:rsidRPr="002E5C0B">
        <w:rPr>
          <w:b/>
          <w:bCs/>
          <w:i/>
          <w:iCs/>
        </w:rPr>
        <w:t xml:space="preserve"> – </w:t>
      </w:r>
      <w:r>
        <w:rPr>
          <w:b/>
          <w:bCs/>
          <w:i/>
          <w:iCs/>
        </w:rPr>
        <w:t>Bomb Threats</w:t>
      </w:r>
    </w:p>
    <w:p w14:paraId="5ADA8363" w14:textId="77777777" w:rsidR="00C50889" w:rsidRPr="002E5C0B" w:rsidRDefault="00C50889" w:rsidP="00C50889">
      <w:pPr>
        <w:spacing w:after="0"/>
        <w:rPr>
          <w:b/>
          <w:bCs/>
          <w:i/>
          <w:iCs/>
        </w:rPr>
      </w:pPr>
      <w:r w:rsidRPr="002E5C0B">
        <w:rPr>
          <w:b/>
          <w:bCs/>
          <w:i/>
          <w:iCs/>
        </w:rPr>
        <w:t>2026-1</w:t>
      </w:r>
    </w:p>
    <w:p w14:paraId="0BEF5C76" w14:textId="77777777" w:rsidR="00C50889" w:rsidRPr="00501741" w:rsidRDefault="00C50889" w:rsidP="00C50889">
      <w:pPr>
        <w:spacing w:after="0"/>
      </w:pPr>
      <w:r>
        <w:t xml:space="preserve">This previous policy 4160 is being revised to be accurately captured as a procedure (4100.60) and part of the Credit Union’s overall Security Program.  Revisions were made to improve the content and readability. </w:t>
      </w:r>
      <w:r w:rsidRPr="00EF6DF7">
        <w:rPr>
          <w:b/>
          <w:bCs/>
          <w:color w:val="EE0000"/>
        </w:rPr>
        <w:t>(Recommended)</w:t>
      </w:r>
    </w:p>
    <w:p w14:paraId="78BAD921" w14:textId="77777777" w:rsidR="00C50889" w:rsidRDefault="00C50889" w:rsidP="00C50889">
      <w:pPr>
        <w:spacing w:after="0"/>
      </w:pPr>
    </w:p>
    <w:p w14:paraId="7850A849" w14:textId="77777777" w:rsidR="004648F5" w:rsidRDefault="004648F5">
      <w:pPr>
        <w:rPr>
          <w:b/>
          <w:bCs/>
          <w:i/>
          <w:iCs/>
        </w:rPr>
      </w:pPr>
      <w:r>
        <w:rPr>
          <w:b/>
          <w:bCs/>
          <w:i/>
          <w:iCs/>
        </w:rPr>
        <w:br w:type="page"/>
      </w:r>
    </w:p>
    <w:p w14:paraId="3328C505" w14:textId="7D3F168A" w:rsidR="00C50889" w:rsidRPr="002E5C0B" w:rsidRDefault="00C50889" w:rsidP="00C50889">
      <w:pPr>
        <w:spacing w:after="0"/>
        <w:rPr>
          <w:b/>
          <w:bCs/>
          <w:i/>
          <w:iCs/>
        </w:rPr>
      </w:pPr>
      <w:r w:rsidRPr="002E5C0B">
        <w:rPr>
          <w:b/>
          <w:bCs/>
          <w:i/>
          <w:iCs/>
        </w:rPr>
        <w:lastRenderedPageBreak/>
        <w:t>41</w:t>
      </w:r>
      <w:r>
        <w:rPr>
          <w:b/>
          <w:bCs/>
          <w:i/>
          <w:iCs/>
        </w:rPr>
        <w:t>20.10</w:t>
      </w:r>
      <w:r w:rsidRPr="002E5C0B">
        <w:rPr>
          <w:b/>
          <w:bCs/>
          <w:i/>
          <w:iCs/>
        </w:rPr>
        <w:t xml:space="preserve"> – </w:t>
      </w:r>
      <w:r>
        <w:rPr>
          <w:b/>
          <w:bCs/>
          <w:i/>
          <w:iCs/>
        </w:rPr>
        <w:t>Configuration Management</w:t>
      </w:r>
    </w:p>
    <w:p w14:paraId="3E1B1860" w14:textId="77777777" w:rsidR="00C50889" w:rsidRPr="002E5C0B" w:rsidRDefault="00C50889" w:rsidP="00C50889">
      <w:pPr>
        <w:spacing w:after="0"/>
        <w:rPr>
          <w:b/>
          <w:bCs/>
          <w:i/>
          <w:iCs/>
        </w:rPr>
      </w:pPr>
      <w:r w:rsidRPr="002E5C0B">
        <w:rPr>
          <w:b/>
          <w:bCs/>
          <w:i/>
          <w:iCs/>
        </w:rPr>
        <w:t>2026-1</w:t>
      </w:r>
    </w:p>
    <w:p w14:paraId="3082E043" w14:textId="77777777" w:rsidR="00C50889" w:rsidRPr="00501741" w:rsidRDefault="00C50889" w:rsidP="00C50889">
      <w:pPr>
        <w:spacing w:after="0"/>
      </w:pPr>
      <w:r>
        <w:t xml:space="preserve">This previous policy 4305 is being revised to be accurately captured as a resource to support the policy (4120.10) and part of the Credit Union’s overall Information Security Program.  Revisions were made to improve the content and readability. </w:t>
      </w:r>
      <w:r w:rsidRPr="00EF6DF7">
        <w:rPr>
          <w:b/>
          <w:bCs/>
          <w:color w:val="EE0000"/>
        </w:rPr>
        <w:t>(Recommended)</w:t>
      </w:r>
    </w:p>
    <w:p w14:paraId="27E22576" w14:textId="77777777" w:rsidR="00C50889" w:rsidRDefault="00C50889" w:rsidP="00C50889">
      <w:pPr>
        <w:spacing w:after="0"/>
      </w:pPr>
    </w:p>
    <w:p w14:paraId="29C3DF68" w14:textId="77777777" w:rsidR="00C50889" w:rsidRPr="002E5C0B" w:rsidRDefault="00C50889" w:rsidP="00C50889">
      <w:pPr>
        <w:spacing w:after="0"/>
        <w:rPr>
          <w:b/>
          <w:bCs/>
          <w:i/>
          <w:iCs/>
        </w:rPr>
      </w:pPr>
      <w:r w:rsidRPr="002E5C0B">
        <w:rPr>
          <w:b/>
          <w:bCs/>
          <w:i/>
          <w:iCs/>
        </w:rPr>
        <w:t>41</w:t>
      </w:r>
      <w:r>
        <w:rPr>
          <w:b/>
          <w:bCs/>
          <w:i/>
          <w:iCs/>
        </w:rPr>
        <w:t>20.20</w:t>
      </w:r>
      <w:r w:rsidRPr="002E5C0B">
        <w:rPr>
          <w:b/>
          <w:bCs/>
          <w:i/>
          <w:iCs/>
        </w:rPr>
        <w:t xml:space="preserve"> – </w:t>
      </w:r>
      <w:r>
        <w:rPr>
          <w:b/>
          <w:bCs/>
          <w:i/>
          <w:iCs/>
        </w:rPr>
        <w:t>Patch Management</w:t>
      </w:r>
    </w:p>
    <w:p w14:paraId="5A5E73D1" w14:textId="77777777" w:rsidR="00C50889" w:rsidRPr="002E5C0B" w:rsidRDefault="00C50889" w:rsidP="00C50889">
      <w:pPr>
        <w:spacing w:after="0"/>
        <w:rPr>
          <w:b/>
          <w:bCs/>
          <w:i/>
          <w:iCs/>
        </w:rPr>
      </w:pPr>
      <w:r w:rsidRPr="002E5C0B">
        <w:rPr>
          <w:b/>
          <w:bCs/>
          <w:i/>
          <w:iCs/>
        </w:rPr>
        <w:t>2026-1</w:t>
      </w:r>
    </w:p>
    <w:p w14:paraId="748E0D5D" w14:textId="77777777" w:rsidR="00C50889" w:rsidRPr="00501741" w:rsidRDefault="00C50889" w:rsidP="00C50889">
      <w:pPr>
        <w:spacing w:after="0"/>
      </w:pPr>
      <w:r>
        <w:t xml:space="preserve">This previous policy 4310 is being revised to be accurately captured as a resource to support the policy (4120.20) and part of the Credit Union’s overall Information Security Program.  Revisions were made to improve the content and readability. </w:t>
      </w:r>
      <w:r w:rsidRPr="00EF6DF7">
        <w:rPr>
          <w:b/>
          <w:bCs/>
          <w:color w:val="EE0000"/>
        </w:rPr>
        <w:t>(Recommended)</w:t>
      </w:r>
    </w:p>
    <w:p w14:paraId="08A38CF8" w14:textId="77777777" w:rsidR="00C50889" w:rsidRPr="00501741" w:rsidRDefault="00C50889" w:rsidP="00C50889">
      <w:pPr>
        <w:spacing w:after="0"/>
      </w:pPr>
    </w:p>
    <w:p w14:paraId="0563B407" w14:textId="77777777" w:rsidR="00C50889" w:rsidRPr="002E5C0B" w:rsidRDefault="00C50889" w:rsidP="00C50889">
      <w:pPr>
        <w:spacing w:after="0"/>
        <w:rPr>
          <w:b/>
          <w:bCs/>
          <w:i/>
          <w:iCs/>
        </w:rPr>
      </w:pPr>
      <w:r w:rsidRPr="002E5C0B">
        <w:rPr>
          <w:b/>
          <w:bCs/>
          <w:i/>
          <w:iCs/>
        </w:rPr>
        <w:t>41</w:t>
      </w:r>
      <w:r>
        <w:rPr>
          <w:b/>
          <w:bCs/>
          <w:i/>
          <w:iCs/>
        </w:rPr>
        <w:t>20.30</w:t>
      </w:r>
      <w:r w:rsidRPr="002E5C0B">
        <w:rPr>
          <w:b/>
          <w:bCs/>
          <w:i/>
          <w:iCs/>
        </w:rPr>
        <w:t xml:space="preserve"> – </w:t>
      </w:r>
      <w:r>
        <w:rPr>
          <w:b/>
          <w:bCs/>
          <w:i/>
          <w:iCs/>
        </w:rPr>
        <w:t>Firewalls</w:t>
      </w:r>
    </w:p>
    <w:p w14:paraId="5CFE3148" w14:textId="77777777" w:rsidR="00C50889" w:rsidRPr="002E5C0B" w:rsidRDefault="00C50889" w:rsidP="00C50889">
      <w:pPr>
        <w:spacing w:after="0"/>
        <w:rPr>
          <w:b/>
          <w:bCs/>
          <w:i/>
          <w:iCs/>
        </w:rPr>
      </w:pPr>
      <w:r w:rsidRPr="002E5C0B">
        <w:rPr>
          <w:b/>
          <w:bCs/>
          <w:i/>
          <w:iCs/>
        </w:rPr>
        <w:t>2026-1</w:t>
      </w:r>
    </w:p>
    <w:p w14:paraId="1EB56E9A" w14:textId="77777777" w:rsidR="00C50889" w:rsidRDefault="00C50889" w:rsidP="00C50889">
      <w:pPr>
        <w:spacing w:after="0"/>
        <w:rPr>
          <w:b/>
          <w:bCs/>
          <w:color w:val="EE0000"/>
        </w:rPr>
      </w:pPr>
      <w:r>
        <w:t xml:space="preserve">This previous policy 4315 is being revised to be accurately captured as a resource to support the policy (4120.30) and part of the Credit Union’s overall Information Security Program.  Revisions were made to improve the content and readability. </w:t>
      </w:r>
      <w:r w:rsidRPr="00EF6DF7">
        <w:rPr>
          <w:b/>
          <w:bCs/>
          <w:color w:val="EE0000"/>
        </w:rPr>
        <w:t>(Recommended)</w:t>
      </w:r>
    </w:p>
    <w:p w14:paraId="3160BC73" w14:textId="77777777" w:rsidR="00C50889" w:rsidRDefault="00C50889" w:rsidP="00C50889">
      <w:pPr>
        <w:spacing w:after="0"/>
        <w:rPr>
          <w:b/>
          <w:bCs/>
          <w:color w:val="EE0000"/>
        </w:rPr>
      </w:pPr>
    </w:p>
    <w:p w14:paraId="672A4B96" w14:textId="77777777" w:rsidR="00C50889" w:rsidRPr="002E5C0B" w:rsidRDefault="00C50889" w:rsidP="00C50889">
      <w:pPr>
        <w:spacing w:after="0"/>
        <w:rPr>
          <w:b/>
          <w:bCs/>
          <w:i/>
          <w:iCs/>
        </w:rPr>
      </w:pPr>
      <w:r w:rsidRPr="002E5C0B">
        <w:rPr>
          <w:b/>
          <w:bCs/>
          <w:i/>
          <w:iCs/>
        </w:rPr>
        <w:t>41</w:t>
      </w:r>
      <w:r>
        <w:rPr>
          <w:b/>
          <w:bCs/>
          <w:i/>
          <w:iCs/>
        </w:rPr>
        <w:t>20.40</w:t>
      </w:r>
      <w:r w:rsidRPr="002E5C0B">
        <w:rPr>
          <w:b/>
          <w:bCs/>
          <w:i/>
          <w:iCs/>
        </w:rPr>
        <w:t xml:space="preserve"> – </w:t>
      </w:r>
      <w:r>
        <w:rPr>
          <w:b/>
          <w:bCs/>
          <w:i/>
          <w:iCs/>
        </w:rPr>
        <w:t>Computer Hardware and Software Acquisition</w:t>
      </w:r>
    </w:p>
    <w:p w14:paraId="5CA2A217" w14:textId="77777777" w:rsidR="00C50889" w:rsidRPr="002E5C0B" w:rsidRDefault="00C50889" w:rsidP="00C50889">
      <w:pPr>
        <w:spacing w:after="0"/>
        <w:rPr>
          <w:b/>
          <w:bCs/>
          <w:i/>
          <w:iCs/>
        </w:rPr>
      </w:pPr>
      <w:r w:rsidRPr="002E5C0B">
        <w:rPr>
          <w:b/>
          <w:bCs/>
          <w:i/>
          <w:iCs/>
        </w:rPr>
        <w:t>2026-1</w:t>
      </w:r>
    </w:p>
    <w:p w14:paraId="66313C12" w14:textId="77777777" w:rsidR="00C50889" w:rsidRPr="00501741" w:rsidRDefault="00C50889" w:rsidP="00C50889">
      <w:pPr>
        <w:spacing w:after="0"/>
      </w:pPr>
      <w:r>
        <w:t xml:space="preserve">This previous policy 4320 is being revised to be accurately captured as a resource to support the policy (4120.40) and part of the Credit Union’s overall Information Security Program.  Revisions were made to improve the content and readability. </w:t>
      </w:r>
      <w:r w:rsidRPr="00EF6DF7">
        <w:rPr>
          <w:b/>
          <w:bCs/>
          <w:color w:val="EE0000"/>
        </w:rPr>
        <w:t>(Recommended)</w:t>
      </w:r>
    </w:p>
    <w:p w14:paraId="09DA7814" w14:textId="77777777" w:rsidR="00C50889" w:rsidRPr="00501741" w:rsidRDefault="00C50889" w:rsidP="00C50889">
      <w:pPr>
        <w:spacing w:after="0"/>
      </w:pPr>
    </w:p>
    <w:p w14:paraId="1D3D3C35" w14:textId="77777777" w:rsidR="00C50889" w:rsidRPr="002E5C0B" w:rsidRDefault="00C50889" w:rsidP="00C50889">
      <w:pPr>
        <w:spacing w:after="0"/>
        <w:rPr>
          <w:b/>
          <w:bCs/>
          <w:i/>
          <w:iCs/>
        </w:rPr>
      </w:pPr>
      <w:r w:rsidRPr="002E5C0B">
        <w:rPr>
          <w:b/>
          <w:bCs/>
          <w:i/>
          <w:iCs/>
        </w:rPr>
        <w:t>41</w:t>
      </w:r>
      <w:r>
        <w:rPr>
          <w:b/>
          <w:bCs/>
          <w:i/>
          <w:iCs/>
        </w:rPr>
        <w:t>20.50</w:t>
      </w:r>
      <w:r w:rsidRPr="002E5C0B">
        <w:rPr>
          <w:b/>
          <w:bCs/>
          <w:i/>
          <w:iCs/>
        </w:rPr>
        <w:t xml:space="preserve"> – </w:t>
      </w:r>
      <w:r>
        <w:rPr>
          <w:b/>
          <w:bCs/>
          <w:i/>
          <w:iCs/>
        </w:rPr>
        <w:t>Remote Access</w:t>
      </w:r>
    </w:p>
    <w:p w14:paraId="513B85C9" w14:textId="77777777" w:rsidR="00C50889" w:rsidRPr="002E5C0B" w:rsidRDefault="00C50889" w:rsidP="00C50889">
      <w:pPr>
        <w:spacing w:after="0"/>
        <w:rPr>
          <w:b/>
          <w:bCs/>
          <w:i/>
          <w:iCs/>
        </w:rPr>
      </w:pPr>
      <w:r w:rsidRPr="002E5C0B">
        <w:rPr>
          <w:b/>
          <w:bCs/>
          <w:i/>
          <w:iCs/>
        </w:rPr>
        <w:t>2026-1</w:t>
      </w:r>
    </w:p>
    <w:p w14:paraId="73884343" w14:textId="77777777" w:rsidR="00C50889" w:rsidRDefault="00C50889" w:rsidP="00C50889">
      <w:pPr>
        <w:spacing w:after="0"/>
        <w:rPr>
          <w:b/>
          <w:bCs/>
          <w:color w:val="EE0000"/>
        </w:rPr>
      </w:pPr>
      <w:r>
        <w:t xml:space="preserve">This previous policy 4340 is being revised to be accurately captured as a resource to support the policy (4120.50) and part of the Credit Union’s overall Information Security Program.  Revisions were made to improve the content and readability. </w:t>
      </w:r>
      <w:r w:rsidRPr="00EF6DF7">
        <w:rPr>
          <w:b/>
          <w:bCs/>
          <w:color w:val="EE0000"/>
        </w:rPr>
        <w:t>(Recommended)</w:t>
      </w:r>
    </w:p>
    <w:p w14:paraId="4D8959F9" w14:textId="77777777" w:rsidR="00C50889" w:rsidRDefault="00C50889" w:rsidP="00C50889">
      <w:pPr>
        <w:spacing w:after="0"/>
        <w:rPr>
          <w:b/>
          <w:bCs/>
          <w:color w:val="EE0000"/>
        </w:rPr>
      </w:pPr>
    </w:p>
    <w:p w14:paraId="294D9062" w14:textId="77777777" w:rsidR="00C50889" w:rsidRPr="002E5C0B" w:rsidRDefault="00C50889" w:rsidP="00C50889">
      <w:pPr>
        <w:spacing w:after="0"/>
        <w:rPr>
          <w:b/>
          <w:bCs/>
          <w:i/>
          <w:iCs/>
        </w:rPr>
      </w:pPr>
      <w:r w:rsidRPr="002E5C0B">
        <w:rPr>
          <w:b/>
          <w:bCs/>
          <w:i/>
          <w:iCs/>
        </w:rPr>
        <w:t>41</w:t>
      </w:r>
      <w:r>
        <w:rPr>
          <w:b/>
          <w:bCs/>
          <w:i/>
          <w:iCs/>
        </w:rPr>
        <w:t>20.60</w:t>
      </w:r>
      <w:r w:rsidRPr="002E5C0B">
        <w:rPr>
          <w:b/>
          <w:bCs/>
          <w:i/>
          <w:iCs/>
        </w:rPr>
        <w:t xml:space="preserve"> – </w:t>
      </w:r>
      <w:r>
        <w:rPr>
          <w:b/>
          <w:bCs/>
          <w:i/>
          <w:iCs/>
        </w:rPr>
        <w:t>Change Management Procedures</w:t>
      </w:r>
    </w:p>
    <w:p w14:paraId="1FA8BACC" w14:textId="77777777" w:rsidR="00C50889" w:rsidRPr="002E5C0B" w:rsidRDefault="00C50889" w:rsidP="00C50889">
      <w:pPr>
        <w:spacing w:after="0"/>
        <w:rPr>
          <w:b/>
          <w:bCs/>
          <w:i/>
          <w:iCs/>
        </w:rPr>
      </w:pPr>
      <w:r w:rsidRPr="002E5C0B">
        <w:rPr>
          <w:b/>
          <w:bCs/>
          <w:i/>
          <w:iCs/>
        </w:rPr>
        <w:t>2026-1</w:t>
      </w:r>
    </w:p>
    <w:p w14:paraId="2712EA9E" w14:textId="77777777" w:rsidR="00C50889" w:rsidRPr="00501741" w:rsidRDefault="00C50889" w:rsidP="00C50889">
      <w:pPr>
        <w:spacing w:after="0"/>
      </w:pPr>
      <w:r>
        <w:t xml:space="preserve">This previous policy 4400 is being revised to be accurately captured as a procedure to support the policy (4120.60) and part of the Credit Union’s overall Information Security Program.  Revisions were made to improve the content and readability. </w:t>
      </w:r>
      <w:r w:rsidRPr="00EF6DF7">
        <w:rPr>
          <w:b/>
          <w:bCs/>
          <w:color w:val="EE0000"/>
        </w:rPr>
        <w:t>(Recommended)</w:t>
      </w:r>
    </w:p>
    <w:p w14:paraId="1BBF8651" w14:textId="5FE98578" w:rsidR="004648F5" w:rsidRDefault="004648F5">
      <w:r>
        <w:br w:type="page"/>
      </w:r>
    </w:p>
    <w:p w14:paraId="1CB23F9C" w14:textId="77777777" w:rsidR="00C50889" w:rsidRDefault="00C50889" w:rsidP="00C50889">
      <w:pPr>
        <w:spacing w:after="0"/>
      </w:pPr>
    </w:p>
    <w:p w14:paraId="1D909FE1" w14:textId="2325ED3A" w:rsidR="00C50889" w:rsidRPr="002E5C0B" w:rsidRDefault="00C50889" w:rsidP="00C50889">
      <w:pPr>
        <w:spacing w:after="0"/>
        <w:rPr>
          <w:b/>
          <w:bCs/>
          <w:i/>
          <w:iCs/>
        </w:rPr>
      </w:pPr>
      <w:r>
        <w:rPr>
          <w:b/>
          <w:bCs/>
          <w:i/>
          <w:iCs/>
        </w:rPr>
        <w:t>Policy 4350 – Cloud Computing</w:t>
      </w:r>
    </w:p>
    <w:p w14:paraId="50523508" w14:textId="77777777" w:rsidR="00C50889" w:rsidRPr="002E5C0B" w:rsidRDefault="00C50889" w:rsidP="00C50889">
      <w:pPr>
        <w:spacing w:after="0"/>
        <w:rPr>
          <w:b/>
          <w:bCs/>
          <w:i/>
          <w:iCs/>
        </w:rPr>
      </w:pPr>
      <w:r w:rsidRPr="002E5C0B">
        <w:rPr>
          <w:b/>
          <w:bCs/>
          <w:i/>
          <w:iCs/>
        </w:rPr>
        <w:t>2026-1</w:t>
      </w:r>
    </w:p>
    <w:p w14:paraId="7CC959E1" w14:textId="77777777" w:rsidR="00C50889" w:rsidRPr="00501741" w:rsidRDefault="00C50889" w:rsidP="00C50889">
      <w:pPr>
        <w:spacing w:after="0"/>
      </w:pPr>
      <w:r>
        <w:t xml:space="preserve">This policy was revised to incorporate additional details from the </w:t>
      </w:r>
      <w:hyperlink r:id="rId10" w:history="1">
        <w:r w:rsidRPr="00251A0B">
          <w:rPr>
            <w:rStyle w:val="Hyperlink"/>
          </w:rPr>
          <w:t>FFIEC’s Security in a Cloud Computing Environment joint statement</w:t>
        </w:r>
      </w:hyperlink>
      <w:r>
        <w:t xml:space="preserve">.  </w:t>
      </w:r>
      <w:r w:rsidRPr="00EF6DF7">
        <w:rPr>
          <w:b/>
          <w:bCs/>
          <w:color w:val="EE0000"/>
        </w:rPr>
        <w:t>(Recommended)</w:t>
      </w:r>
    </w:p>
    <w:p w14:paraId="54070E24" w14:textId="77777777" w:rsidR="00C50889" w:rsidRDefault="00C50889"/>
    <w:p w14:paraId="7E4ADC72" w14:textId="50CA1220" w:rsidR="00251A0B" w:rsidRPr="00251A0B" w:rsidRDefault="00251A0B">
      <w:pPr>
        <w:rPr>
          <w:b/>
          <w:bCs/>
          <w:color w:val="EE0000"/>
          <w:u w:val="single"/>
        </w:rPr>
      </w:pPr>
      <w:r w:rsidRPr="00251A0B">
        <w:rPr>
          <w:b/>
          <w:bCs/>
          <w:color w:val="EE0000"/>
          <w:u w:val="single"/>
        </w:rPr>
        <w:t>Policies being retired:</w:t>
      </w:r>
    </w:p>
    <w:p w14:paraId="2098476E" w14:textId="77777777" w:rsidR="00251A0B" w:rsidRPr="002E5C0B" w:rsidRDefault="00251A0B" w:rsidP="00251A0B">
      <w:pPr>
        <w:spacing w:after="0"/>
        <w:rPr>
          <w:b/>
          <w:bCs/>
          <w:i/>
          <w:iCs/>
        </w:rPr>
      </w:pPr>
      <w:r w:rsidRPr="002E5C0B">
        <w:rPr>
          <w:b/>
          <w:bCs/>
          <w:i/>
          <w:iCs/>
        </w:rPr>
        <w:t>4</w:t>
      </w:r>
      <w:r>
        <w:rPr>
          <w:b/>
          <w:bCs/>
          <w:i/>
          <w:iCs/>
        </w:rPr>
        <w:t>200 – Security Devices</w:t>
      </w:r>
    </w:p>
    <w:p w14:paraId="0CF91796" w14:textId="77777777" w:rsidR="00251A0B" w:rsidRPr="002E5C0B" w:rsidRDefault="00251A0B" w:rsidP="00251A0B">
      <w:pPr>
        <w:spacing w:after="0"/>
        <w:rPr>
          <w:b/>
          <w:bCs/>
          <w:i/>
          <w:iCs/>
        </w:rPr>
      </w:pPr>
      <w:r w:rsidRPr="002E5C0B">
        <w:rPr>
          <w:b/>
          <w:bCs/>
          <w:i/>
          <w:iCs/>
        </w:rPr>
        <w:t>2026-1</w:t>
      </w:r>
    </w:p>
    <w:p w14:paraId="4B0A9A0D" w14:textId="77777777" w:rsidR="00251A0B" w:rsidRPr="002E5C0B" w:rsidRDefault="00251A0B" w:rsidP="00251A0B">
      <w:pPr>
        <w:spacing w:after="0"/>
        <w:rPr>
          <w:b/>
          <w:bCs/>
          <w:i/>
          <w:iCs/>
          <w:color w:val="EE0000"/>
        </w:rPr>
      </w:pPr>
      <w:r>
        <w:rPr>
          <w:b/>
          <w:bCs/>
          <w:i/>
          <w:iCs/>
          <w:color w:val="EE0000"/>
        </w:rPr>
        <w:t>Policy Retired</w:t>
      </w:r>
    </w:p>
    <w:p w14:paraId="70C4C647" w14:textId="77777777" w:rsidR="00251A0B" w:rsidRDefault="00251A0B" w:rsidP="00251A0B">
      <w:pPr>
        <w:spacing w:after="0"/>
        <w:rPr>
          <w:b/>
          <w:bCs/>
          <w:color w:val="EE0000"/>
        </w:rPr>
      </w:pPr>
      <w:r>
        <w:t>Policy 4200 is being retired, and the content is being included within the General Security Procedures 4100.10.</w:t>
      </w:r>
    </w:p>
    <w:p w14:paraId="47F77EAA" w14:textId="77777777" w:rsidR="00251A0B" w:rsidRDefault="00251A0B" w:rsidP="00251A0B">
      <w:pPr>
        <w:spacing w:after="0"/>
        <w:rPr>
          <w:b/>
          <w:bCs/>
          <w:color w:val="EE0000"/>
        </w:rPr>
      </w:pPr>
    </w:p>
    <w:p w14:paraId="7CC316BF" w14:textId="77777777" w:rsidR="00251A0B" w:rsidRPr="002E5C0B" w:rsidRDefault="00251A0B" w:rsidP="00251A0B">
      <w:pPr>
        <w:spacing w:after="0"/>
        <w:rPr>
          <w:b/>
          <w:bCs/>
          <w:i/>
          <w:iCs/>
        </w:rPr>
      </w:pPr>
      <w:r w:rsidRPr="002E5C0B">
        <w:rPr>
          <w:b/>
          <w:bCs/>
          <w:i/>
          <w:iCs/>
        </w:rPr>
        <w:t>4</w:t>
      </w:r>
      <w:r>
        <w:rPr>
          <w:b/>
          <w:bCs/>
          <w:i/>
          <w:iCs/>
        </w:rPr>
        <w:t>300 – Computer Security and Control</w:t>
      </w:r>
    </w:p>
    <w:p w14:paraId="634C992B" w14:textId="77777777" w:rsidR="00251A0B" w:rsidRPr="002E5C0B" w:rsidRDefault="00251A0B" w:rsidP="00251A0B">
      <w:pPr>
        <w:spacing w:after="0"/>
        <w:rPr>
          <w:b/>
          <w:bCs/>
          <w:i/>
          <w:iCs/>
        </w:rPr>
      </w:pPr>
      <w:r w:rsidRPr="002E5C0B">
        <w:rPr>
          <w:b/>
          <w:bCs/>
          <w:i/>
          <w:iCs/>
        </w:rPr>
        <w:t>2026-1</w:t>
      </w:r>
    </w:p>
    <w:p w14:paraId="0C9CE329" w14:textId="77777777" w:rsidR="00251A0B" w:rsidRPr="002E5C0B" w:rsidRDefault="00251A0B" w:rsidP="00251A0B">
      <w:pPr>
        <w:spacing w:after="0"/>
        <w:rPr>
          <w:b/>
          <w:bCs/>
          <w:i/>
          <w:iCs/>
          <w:color w:val="EE0000"/>
        </w:rPr>
      </w:pPr>
      <w:r>
        <w:rPr>
          <w:b/>
          <w:bCs/>
          <w:i/>
          <w:iCs/>
          <w:color w:val="EE0000"/>
        </w:rPr>
        <w:t>Policy Retired</w:t>
      </w:r>
    </w:p>
    <w:p w14:paraId="79C35BE1" w14:textId="77777777" w:rsidR="00251A0B" w:rsidRPr="00501741" w:rsidRDefault="00251A0B" w:rsidP="00251A0B">
      <w:pPr>
        <w:spacing w:after="0"/>
      </w:pPr>
      <w:r>
        <w:t>Policy 4300 is being retired, since the content is duplicative within our existing policies, including 4120 – Information Security, and 2222 - Electronic Communications: Acceptable Use.</w:t>
      </w:r>
    </w:p>
    <w:p w14:paraId="56A8CB96" w14:textId="77777777" w:rsidR="00251A0B" w:rsidRPr="00501741" w:rsidRDefault="00251A0B" w:rsidP="00251A0B">
      <w:pPr>
        <w:spacing w:after="0"/>
      </w:pPr>
    </w:p>
    <w:p w14:paraId="06770F72" w14:textId="77777777" w:rsidR="00251A0B" w:rsidRPr="00251A0B" w:rsidRDefault="00251A0B">
      <w:pPr>
        <w:rPr>
          <w:b/>
          <w:bCs/>
        </w:rPr>
      </w:pPr>
    </w:p>
    <w:sectPr w:rsidR="00251A0B" w:rsidRPr="00251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86"/>
    <w:rsid w:val="000226AA"/>
    <w:rsid w:val="000451FF"/>
    <w:rsid w:val="00050FDC"/>
    <w:rsid w:val="00060C87"/>
    <w:rsid w:val="000C4953"/>
    <w:rsid w:val="000D76F5"/>
    <w:rsid w:val="000F76EB"/>
    <w:rsid w:val="00112A5D"/>
    <w:rsid w:val="001276BC"/>
    <w:rsid w:val="0014570B"/>
    <w:rsid w:val="00147E17"/>
    <w:rsid w:val="00153FCD"/>
    <w:rsid w:val="00175555"/>
    <w:rsid w:val="001A751A"/>
    <w:rsid w:val="00202565"/>
    <w:rsid w:val="00202720"/>
    <w:rsid w:val="00220720"/>
    <w:rsid w:val="00251A0B"/>
    <w:rsid w:val="00271E80"/>
    <w:rsid w:val="0027567A"/>
    <w:rsid w:val="0029618A"/>
    <w:rsid w:val="002C7E21"/>
    <w:rsid w:val="002E5C0B"/>
    <w:rsid w:val="003241A6"/>
    <w:rsid w:val="00332A7F"/>
    <w:rsid w:val="0036516D"/>
    <w:rsid w:val="003B7111"/>
    <w:rsid w:val="003F7285"/>
    <w:rsid w:val="004243FD"/>
    <w:rsid w:val="004429CC"/>
    <w:rsid w:val="004648F5"/>
    <w:rsid w:val="004669D8"/>
    <w:rsid w:val="00493A05"/>
    <w:rsid w:val="004A17FC"/>
    <w:rsid w:val="004C0F2F"/>
    <w:rsid w:val="004C430D"/>
    <w:rsid w:val="004E42F0"/>
    <w:rsid w:val="00501741"/>
    <w:rsid w:val="00502036"/>
    <w:rsid w:val="00514ABC"/>
    <w:rsid w:val="00520C36"/>
    <w:rsid w:val="00543364"/>
    <w:rsid w:val="005523C3"/>
    <w:rsid w:val="00555EB6"/>
    <w:rsid w:val="0058347D"/>
    <w:rsid w:val="005971B8"/>
    <w:rsid w:val="005D0C3B"/>
    <w:rsid w:val="005E43E0"/>
    <w:rsid w:val="005F2EE7"/>
    <w:rsid w:val="005F4F04"/>
    <w:rsid w:val="00606731"/>
    <w:rsid w:val="0061340F"/>
    <w:rsid w:val="00632876"/>
    <w:rsid w:val="006512C5"/>
    <w:rsid w:val="0065400C"/>
    <w:rsid w:val="00655E38"/>
    <w:rsid w:val="00676A0C"/>
    <w:rsid w:val="006A065D"/>
    <w:rsid w:val="006D0952"/>
    <w:rsid w:val="006F6B83"/>
    <w:rsid w:val="007145AF"/>
    <w:rsid w:val="00716172"/>
    <w:rsid w:val="007505E7"/>
    <w:rsid w:val="0075071B"/>
    <w:rsid w:val="0077553E"/>
    <w:rsid w:val="00786695"/>
    <w:rsid w:val="007A2EE3"/>
    <w:rsid w:val="008124F3"/>
    <w:rsid w:val="00822D8C"/>
    <w:rsid w:val="00837CD4"/>
    <w:rsid w:val="00885EE0"/>
    <w:rsid w:val="0089490E"/>
    <w:rsid w:val="00896003"/>
    <w:rsid w:val="008B7D27"/>
    <w:rsid w:val="008C230D"/>
    <w:rsid w:val="00916E1A"/>
    <w:rsid w:val="0095244F"/>
    <w:rsid w:val="009815A8"/>
    <w:rsid w:val="00983FF6"/>
    <w:rsid w:val="009B00C3"/>
    <w:rsid w:val="009E03C0"/>
    <w:rsid w:val="009E3C3C"/>
    <w:rsid w:val="009E59A5"/>
    <w:rsid w:val="00A51C07"/>
    <w:rsid w:val="00A8008A"/>
    <w:rsid w:val="00AA70A1"/>
    <w:rsid w:val="00AA76D6"/>
    <w:rsid w:val="00B0107C"/>
    <w:rsid w:val="00B23CAA"/>
    <w:rsid w:val="00B62C49"/>
    <w:rsid w:val="00B8600F"/>
    <w:rsid w:val="00B96546"/>
    <w:rsid w:val="00BD2518"/>
    <w:rsid w:val="00BE5D46"/>
    <w:rsid w:val="00C0294C"/>
    <w:rsid w:val="00C14870"/>
    <w:rsid w:val="00C50889"/>
    <w:rsid w:val="00C55014"/>
    <w:rsid w:val="00C72D14"/>
    <w:rsid w:val="00C96773"/>
    <w:rsid w:val="00CB2756"/>
    <w:rsid w:val="00CD1B6E"/>
    <w:rsid w:val="00CE34A5"/>
    <w:rsid w:val="00CE5B8B"/>
    <w:rsid w:val="00D14EFB"/>
    <w:rsid w:val="00D320F9"/>
    <w:rsid w:val="00D36428"/>
    <w:rsid w:val="00D37246"/>
    <w:rsid w:val="00D42B55"/>
    <w:rsid w:val="00D43628"/>
    <w:rsid w:val="00D7331B"/>
    <w:rsid w:val="00DD3DED"/>
    <w:rsid w:val="00DE0CA0"/>
    <w:rsid w:val="00DE3B32"/>
    <w:rsid w:val="00E21103"/>
    <w:rsid w:val="00E22947"/>
    <w:rsid w:val="00E70AED"/>
    <w:rsid w:val="00E70F55"/>
    <w:rsid w:val="00EA0EB3"/>
    <w:rsid w:val="00EB2633"/>
    <w:rsid w:val="00EE0710"/>
    <w:rsid w:val="00EE6451"/>
    <w:rsid w:val="00EF6DF7"/>
    <w:rsid w:val="00F8524E"/>
    <w:rsid w:val="00F94286"/>
    <w:rsid w:val="00FA09A2"/>
    <w:rsid w:val="00FB638C"/>
    <w:rsid w:val="00FC3B8E"/>
    <w:rsid w:val="00FC41A7"/>
    <w:rsid w:val="00FF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404B"/>
  <w15:chartTrackingRefBased/>
  <w15:docId w15:val="{5BB51A3B-3DE7-4862-B791-0E9538E2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286"/>
    <w:rPr>
      <w:rFonts w:eastAsiaTheme="majorEastAsia" w:cstheme="majorBidi"/>
      <w:color w:val="272727" w:themeColor="text1" w:themeTint="D8"/>
    </w:rPr>
  </w:style>
  <w:style w:type="paragraph" w:styleId="Title">
    <w:name w:val="Title"/>
    <w:basedOn w:val="Normal"/>
    <w:next w:val="Normal"/>
    <w:link w:val="TitleChar"/>
    <w:uiPriority w:val="10"/>
    <w:qFormat/>
    <w:rsid w:val="00F94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286"/>
    <w:pPr>
      <w:spacing w:before="160"/>
      <w:jc w:val="center"/>
    </w:pPr>
    <w:rPr>
      <w:i/>
      <w:iCs/>
      <w:color w:val="404040" w:themeColor="text1" w:themeTint="BF"/>
    </w:rPr>
  </w:style>
  <w:style w:type="character" w:customStyle="1" w:styleId="QuoteChar">
    <w:name w:val="Quote Char"/>
    <w:basedOn w:val="DefaultParagraphFont"/>
    <w:link w:val="Quote"/>
    <w:uiPriority w:val="29"/>
    <w:rsid w:val="00F94286"/>
    <w:rPr>
      <w:i/>
      <w:iCs/>
      <w:color w:val="404040" w:themeColor="text1" w:themeTint="BF"/>
    </w:rPr>
  </w:style>
  <w:style w:type="paragraph" w:styleId="ListParagraph">
    <w:name w:val="List Paragraph"/>
    <w:basedOn w:val="Normal"/>
    <w:uiPriority w:val="34"/>
    <w:qFormat/>
    <w:rsid w:val="00F94286"/>
    <w:pPr>
      <w:ind w:left="720"/>
      <w:contextualSpacing/>
    </w:pPr>
  </w:style>
  <w:style w:type="character" w:styleId="IntenseEmphasis">
    <w:name w:val="Intense Emphasis"/>
    <w:basedOn w:val="DefaultParagraphFont"/>
    <w:uiPriority w:val="21"/>
    <w:qFormat/>
    <w:rsid w:val="00F94286"/>
    <w:rPr>
      <w:i/>
      <w:iCs/>
      <w:color w:val="0F4761" w:themeColor="accent1" w:themeShade="BF"/>
    </w:rPr>
  </w:style>
  <w:style w:type="paragraph" w:styleId="IntenseQuote">
    <w:name w:val="Intense Quote"/>
    <w:basedOn w:val="Normal"/>
    <w:next w:val="Normal"/>
    <w:link w:val="IntenseQuoteChar"/>
    <w:uiPriority w:val="30"/>
    <w:qFormat/>
    <w:rsid w:val="00F94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286"/>
    <w:rPr>
      <w:i/>
      <w:iCs/>
      <w:color w:val="0F4761" w:themeColor="accent1" w:themeShade="BF"/>
    </w:rPr>
  </w:style>
  <w:style w:type="character" w:styleId="IntenseReference">
    <w:name w:val="Intense Reference"/>
    <w:basedOn w:val="DefaultParagraphFont"/>
    <w:uiPriority w:val="32"/>
    <w:qFormat/>
    <w:rsid w:val="00F94286"/>
    <w:rPr>
      <w:b/>
      <w:bCs/>
      <w:smallCaps/>
      <w:color w:val="0F4761" w:themeColor="accent1" w:themeShade="BF"/>
      <w:spacing w:val="5"/>
    </w:rPr>
  </w:style>
  <w:style w:type="character" w:styleId="Hyperlink">
    <w:name w:val="Hyperlink"/>
    <w:basedOn w:val="DefaultParagraphFont"/>
    <w:uiPriority w:val="99"/>
    <w:unhideWhenUsed/>
    <w:rsid w:val="00DE0CA0"/>
    <w:rPr>
      <w:color w:val="467886" w:themeColor="hyperlink"/>
      <w:u w:val="single"/>
    </w:rPr>
  </w:style>
  <w:style w:type="character" w:styleId="UnresolvedMention">
    <w:name w:val="Unresolved Mention"/>
    <w:basedOn w:val="DefaultParagraphFont"/>
    <w:uiPriority w:val="99"/>
    <w:semiHidden/>
    <w:unhideWhenUsed/>
    <w:rsid w:val="00DE0CA0"/>
    <w:rPr>
      <w:color w:val="605E5C"/>
      <w:shd w:val="clear" w:color="auto" w:fill="E1DFDD"/>
    </w:rPr>
  </w:style>
  <w:style w:type="paragraph" w:styleId="Revision">
    <w:name w:val="Revision"/>
    <w:hidden/>
    <w:uiPriority w:val="99"/>
    <w:semiHidden/>
    <w:rsid w:val="006F6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5/01/10/2024-30628/residential-property-assessed-clean-energy-financing-regulation-z" TargetMode="External"/><Relationship Id="rId3" Type="http://schemas.openxmlformats.org/officeDocument/2006/relationships/webSettings" Target="webSettings.xml"/><Relationship Id="rId7" Type="http://schemas.openxmlformats.org/officeDocument/2006/relationships/hyperlink" Target="https://www.federalregister.gov/documents/2025/01/10/2024-30628/residential-property-assessed-clean-energy-financing-regulation-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deralregister.gov/documents/2025/01/10/2024-30628/residential-property-assessed-clean-energy-financing-regulation-z" TargetMode="External"/><Relationship Id="rId11" Type="http://schemas.openxmlformats.org/officeDocument/2006/relationships/fontTable" Target="fontTable.xml"/><Relationship Id="rId5" Type="http://schemas.openxmlformats.org/officeDocument/2006/relationships/hyperlink" Target="https://www.federalregister.gov/documents/2025/01/10/2024-30628/residential-property-assessed-clean-energy-financing-regulation-z" TargetMode="External"/><Relationship Id="rId10" Type="http://schemas.openxmlformats.org/officeDocument/2006/relationships/hyperlink" Target="https://ncua.gov/newsroom/press-release/2020/ffiec-issues-statement-risk-management-cloud-computing-services/security-cloud-computing-environment" TargetMode="External"/><Relationship Id="rId4" Type="http://schemas.openxmlformats.org/officeDocument/2006/relationships/hyperlink" Target="https://www.federalregister.gov/documents/2025/01/10/2024-30628/residential-property-assessed-clean-energy-financing-regulation-z" TargetMode="External"/><Relationship Id="rId9" Type="http://schemas.openxmlformats.org/officeDocument/2006/relationships/hyperlink" Target="https://www.federalregister.gov/documents/2025/01/10/2024-30628/residential-property-assessed-clean-energy-financing-regulati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1618</Words>
  <Characters>9523</Characters>
  <Application>Microsoft Office Word</Application>
  <DocSecurity>0</DocSecurity>
  <Lines>215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8</cp:revision>
  <dcterms:created xsi:type="dcterms:W3CDTF">2026-03-15T14:30:00Z</dcterms:created>
  <dcterms:modified xsi:type="dcterms:W3CDTF">2026-03-16T13:36:00Z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71fe51e0-e83a-4df9-b946-edcdfc60b56d</vt:lpwstr>
  </property>
</Properties>
</file>